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pPr>
      <w:bookmarkStart w:id="0" w:name="_Toc97557170"/>
    </w:p>
    <w:p>
      <w:pPr>
        <w:ind w:firstLine="480"/>
      </w:pPr>
    </w:p>
    <w:p>
      <w:pPr>
        <w:ind w:firstLine="480"/>
      </w:pPr>
    </w:p>
    <w:p>
      <w:pPr>
        <w:pStyle w:val="297"/>
      </w:pPr>
      <w:bookmarkStart w:id="1" w:name="_Toc122338475"/>
      <w:r>
        <w:t>建设项目环境影响报告表</w:t>
      </w:r>
      <w:bookmarkEnd w:id="0"/>
      <w:bookmarkEnd w:id="1"/>
    </w:p>
    <w:p>
      <w:pPr>
        <w:spacing w:before="260" w:beforeLines="80"/>
        <w:ind w:firstLine="0" w:firstLineChars="0"/>
        <w:jc w:val="center"/>
        <w:rPr>
          <w:rFonts w:eastAsia="楷体_GB2312"/>
          <w:bCs/>
          <w:sz w:val="48"/>
          <w:szCs w:val="48"/>
        </w:rPr>
      </w:pPr>
      <w:r>
        <w:rPr>
          <w:rFonts w:eastAsia="楷体_GB2312"/>
          <w:bCs/>
          <w:sz w:val="48"/>
          <w:szCs w:val="48"/>
        </w:rPr>
        <w:t>（污染影响类）</w:t>
      </w:r>
    </w:p>
    <w:p>
      <w:pPr>
        <w:ind w:firstLine="480"/>
      </w:pPr>
    </w:p>
    <w:p>
      <w:pPr>
        <w:ind w:firstLine="480"/>
      </w:pPr>
    </w:p>
    <w:p>
      <w:pPr>
        <w:ind w:firstLine="480"/>
      </w:pPr>
    </w:p>
    <w:p>
      <w:pPr>
        <w:ind w:firstLine="1040"/>
        <w:rPr>
          <w:rFonts w:eastAsia="仿宋"/>
          <w:sz w:val="52"/>
          <w:szCs w:val="52"/>
        </w:rPr>
      </w:pPr>
    </w:p>
    <w:p>
      <w:pPr>
        <w:ind w:firstLine="880"/>
        <w:rPr>
          <w:rFonts w:eastAsia="仿宋"/>
          <w:sz w:val="44"/>
          <w:szCs w:val="44"/>
        </w:rPr>
      </w:pPr>
    </w:p>
    <w:p>
      <w:pPr>
        <w:ind w:firstLine="880"/>
        <w:rPr>
          <w:rFonts w:eastAsia="仿宋"/>
          <w:sz w:val="44"/>
          <w:szCs w:val="44"/>
        </w:rPr>
      </w:pPr>
    </w:p>
    <w:p>
      <w:pPr>
        <w:ind w:firstLine="880"/>
        <w:rPr>
          <w:rFonts w:eastAsia="仿宋"/>
          <w:sz w:val="44"/>
          <w:szCs w:val="44"/>
        </w:rPr>
      </w:pPr>
    </w:p>
    <w:p>
      <w:pPr>
        <w:ind w:firstLine="880"/>
        <w:rPr>
          <w:rFonts w:eastAsia="仿宋"/>
          <w:sz w:val="44"/>
          <w:szCs w:val="44"/>
        </w:rPr>
      </w:pPr>
    </w:p>
    <w:p>
      <w:pPr>
        <w:ind w:firstLine="880"/>
        <w:rPr>
          <w:rFonts w:eastAsia="仿宋"/>
          <w:sz w:val="44"/>
          <w:szCs w:val="44"/>
        </w:rPr>
      </w:pPr>
    </w:p>
    <w:p>
      <w:pPr>
        <w:ind w:firstLine="880"/>
        <w:rPr>
          <w:rFonts w:eastAsia="仿宋"/>
          <w:sz w:val="44"/>
          <w:szCs w:val="44"/>
        </w:rPr>
      </w:pPr>
    </w:p>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53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vAlign w:val="center"/>
          </w:tcPr>
          <w:p>
            <w:pPr>
              <w:spacing w:line="240" w:lineRule="auto"/>
              <w:ind w:firstLine="0" w:firstLineChars="0"/>
              <w:jc w:val="center"/>
              <w:rPr>
                <w:rFonts w:ascii="仿宋" w:hAnsi="仿宋" w:eastAsia="仿宋"/>
                <w:sz w:val="32"/>
                <w:szCs w:val="32"/>
              </w:rPr>
            </w:pPr>
            <w:r>
              <w:rPr>
                <w:rFonts w:hint="eastAsia" w:ascii="仿宋" w:hAnsi="仿宋" w:eastAsia="仿宋"/>
                <w:sz w:val="32"/>
                <w:szCs w:val="32"/>
              </w:rPr>
              <w:t>项目名称：</w:t>
            </w:r>
          </w:p>
        </w:tc>
        <w:tc>
          <w:tcPr>
            <w:tcW w:w="5319" w:type="dxa"/>
            <w:tcBorders>
              <w:bottom w:val="single" w:color="auto" w:sz="4" w:space="0"/>
            </w:tcBorders>
            <w:vAlign w:val="center"/>
          </w:tcPr>
          <w:p>
            <w:pPr>
              <w:spacing w:line="240" w:lineRule="auto"/>
              <w:ind w:firstLine="0" w:firstLineChars="0"/>
              <w:jc w:val="center"/>
              <w:rPr>
                <w:rFonts w:ascii="仿宋" w:hAnsi="仿宋" w:eastAsia="仿宋"/>
                <w:sz w:val="32"/>
                <w:szCs w:val="32"/>
              </w:rPr>
            </w:pPr>
            <w:bookmarkStart w:id="166" w:name="_GoBack"/>
            <w:r>
              <w:rPr>
                <w:rFonts w:hint="eastAsia" w:ascii="仿宋" w:hAnsi="仿宋" w:eastAsia="仿宋"/>
                <w:sz w:val="32"/>
                <w:szCs w:val="32"/>
              </w:rPr>
              <w:t>广东中恒医学检验中心建设项目</w:t>
            </w:r>
            <w:bookmarkEnd w:id="16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vAlign w:val="center"/>
          </w:tcPr>
          <w:p>
            <w:pPr>
              <w:spacing w:line="240" w:lineRule="auto"/>
              <w:ind w:firstLine="0" w:firstLineChars="0"/>
              <w:jc w:val="center"/>
              <w:rPr>
                <w:rFonts w:ascii="仿宋" w:hAnsi="仿宋" w:eastAsia="仿宋"/>
                <w:sz w:val="32"/>
                <w:szCs w:val="32"/>
              </w:rPr>
            </w:pPr>
            <w:r>
              <w:rPr>
                <w:rFonts w:hint="eastAsia" w:ascii="仿宋" w:hAnsi="仿宋" w:eastAsia="仿宋"/>
                <w:sz w:val="32"/>
                <w:szCs w:val="32"/>
              </w:rPr>
              <w:t>建设单位（盖章）：</w:t>
            </w:r>
          </w:p>
        </w:tc>
        <w:tc>
          <w:tcPr>
            <w:tcW w:w="5319" w:type="dxa"/>
            <w:tcBorders>
              <w:top w:val="single" w:color="auto" w:sz="4" w:space="0"/>
              <w:bottom w:val="single" w:color="auto" w:sz="4" w:space="0"/>
            </w:tcBorders>
            <w:vAlign w:val="center"/>
          </w:tcPr>
          <w:p>
            <w:pPr>
              <w:spacing w:line="240" w:lineRule="auto"/>
              <w:ind w:firstLine="0" w:firstLineChars="0"/>
              <w:jc w:val="center"/>
              <w:rPr>
                <w:rFonts w:ascii="仿宋" w:hAnsi="仿宋" w:eastAsia="仿宋"/>
                <w:sz w:val="32"/>
                <w:szCs w:val="32"/>
              </w:rPr>
            </w:pPr>
            <w:r>
              <w:rPr>
                <w:rFonts w:hint="eastAsia" w:ascii="仿宋" w:hAnsi="仿宋" w:eastAsia="仿宋"/>
                <w:sz w:val="32"/>
                <w:szCs w:val="32"/>
              </w:rPr>
              <w:t>广东中恒医学检验有限公司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vAlign w:val="center"/>
          </w:tcPr>
          <w:p>
            <w:pPr>
              <w:spacing w:line="240" w:lineRule="auto"/>
              <w:ind w:firstLine="0" w:firstLineChars="0"/>
              <w:jc w:val="center"/>
              <w:rPr>
                <w:rFonts w:ascii="仿宋" w:hAnsi="仿宋" w:eastAsia="仿宋"/>
                <w:sz w:val="32"/>
                <w:szCs w:val="32"/>
              </w:rPr>
            </w:pPr>
            <w:r>
              <w:rPr>
                <w:rFonts w:hint="eastAsia" w:ascii="仿宋" w:hAnsi="仿宋" w:eastAsia="仿宋"/>
                <w:sz w:val="32"/>
                <w:szCs w:val="32"/>
              </w:rPr>
              <w:t>编制日期：</w:t>
            </w:r>
          </w:p>
        </w:tc>
        <w:tc>
          <w:tcPr>
            <w:tcW w:w="5319" w:type="dxa"/>
            <w:tcBorders>
              <w:top w:val="single" w:color="auto" w:sz="4" w:space="0"/>
              <w:bottom w:val="single" w:color="auto" w:sz="4" w:space="0"/>
            </w:tcBorders>
            <w:vAlign w:val="center"/>
          </w:tcPr>
          <w:p>
            <w:pPr>
              <w:spacing w:line="240" w:lineRule="auto"/>
              <w:ind w:firstLine="0" w:firstLineChars="0"/>
              <w:jc w:val="center"/>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022</w:t>
            </w:r>
            <w:r>
              <w:rPr>
                <w:rFonts w:hint="eastAsia" w:ascii="仿宋" w:hAnsi="仿宋" w:eastAsia="仿宋"/>
                <w:sz w:val="32"/>
                <w:szCs w:val="32"/>
              </w:rPr>
              <w:t>年</w:t>
            </w:r>
            <w:r>
              <w:rPr>
                <w:rFonts w:ascii="仿宋" w:hAnsi="仿宋" w:eastAsia="仿宋"/>
                <w:sz w:val="32"/>
                <w:szCs w:val="32"/>
              </w:rPr>
              <w:t>12</w:t>
            </w:r>
            <w:r>
              <w:rPr>
                <w:rFonts w:hint="eastAsia" w:ascii="仿宋" w:hAnsi="仿宋" w:eastAsia="仿宋"/>
                <w:sz w:val="32"/>
                <w:szCs w:val="32"/>
              </w:rPr>
              <w:t>月</w:t>
            </w:r>
          </w:p>
        </w:tc>
      </w:tr>
    </w:tbl>
    <w:p>
      <w:pPr>
        <w:ind w:firstLine="880"/>
        <w:jc w:val="left"/>
        <w:rPr>
          <w:rFonts w:eastAsia="仿宋"/>
          <w:sz w:val="44"/>
          <w:szCs w:val="44"/>
        </w:rPr>
      </w:pPr>
    </w:p>
    <w:p>
      <w:pPr>
        <w:spacing w:line="288" w:lineRule="auto"/>
        <w:ind w:firstLine="560"/>
        <w:jc w:val="center"/>
        <w:rPr>
          <w:rFonts w:ascii="楷体_GB2312" w:eastAsia="楷体_GB2312"/>
          <w:sz w:val="28"/>
          <w:szCs w:val="36"/>
        </w:rPr>
      </w:pPr>
    </w:p>
    <w:p>
      <w:pPr>
        <w:spacing w:line="288" w:lineRule="auto"/>
        <w:ind w:firstLine="560"/>
        <w:jc w:val="center"/>
        <w:rPr>
          <w:rFonts w:ascii="楷体_GB2312" w:eastAsia="楷体_GB2312"/>
          <w:sz w:val="28"/>
          <w:szCs w:val="36"/>
        </w:rPr>
      </w:pPr>
    </w:p>
    <w:p>
      <w:pPr>
        <w:spacing w:line="288" w:lineRule="auto"/>
        <w:ind w:firstLine="560"/>
        <w:jc w:val="center"/>
        <w:rPr>
          <w:rFonts w:eastAsia="仿宋"/>
          <w:sz w:val="44"/>
          <w:szCs w:val="44"/>
        </w:rPr>
      </w:pPr>
      <w:r>
        <w:rPr>
          <w:rFonts w:hint="eastAsia" w:ascii="楷体_GB2312" w:eastAsia="楷体_GB2312"/>
          <w:sz w:val="28"/>
          <w:szCs w:val="36"/>
        </w:rPr>
        <w:t>中华人民共和国生态环境部制</w:t>
      </w:r>
    </w:p>
    <w:p>
      <w:pPr>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26" w:charSpace="0"/>
        </w:sectPr>
      </w:pPr>
    </w:p>
    <w:p>
      <w:pPr>
        <w:pStyle w:val="56"/>
      </w:pPr>
      <w:r>
        <w:drawing>
          <wp:inline distT="0" distB="0" distL="0" distR="0">
            <wp:extent cx="7332980" cy="5274310"/>
            <wp:effectExtent l="0" t="0" r="1270"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cstate="email"/>
                    <a:stretch>
                      <a:fillRect/>
                    </a:stretch>
                  </pic:blipFill>
                  <pic:spPr>
                    <a:xfrm>
                      <a:off x="0" y="0"/>
                      <a:ext cx="7332980" cy="5274310"/>
                    </a:xfrm>
                    <a:prstGeom prst="rect">
                      <a:avLst/>
                    </a:prstGeom>
                  </pic:spPr>
                </pic:pic>
              </a:graphicData>
            </a:graphic>
          </wp:inline>
        </w:drawing>
      </w:r>
    </w:p>
    <w:p>
      <w:pPr>
        <w:ind w:firstLine="480"/>
        <w:sectPr>
          <w:pgSz w:w="16838" w:h="11906" w:orient="landscape"/>
          <w:pgMar w:top="1800" w:right="1440" w:bottom="1800" w:left="1440" w:header="851" w:footer="992" w:gutter="0"/>
          <w:cols w:space="720" w:num="1"/>
          <w:docGrid w:type="lines" w:linePitch="326" w:charSpace="0"/>
        </w:sectPr>
      </w:pPr>
    </w:p>
    <w:p>
      <w:pPr>
        <w:ind w:firstLine="480"/>
        <w:sectPr>
          <w:pgSz w:w="11906" w:h="16838"/>
          <w:pgMar w:top="1440" w:right="1800" w:bottom="1440" w:left="1800" w:header="851" w:footer="992" w:gutter="0"/>
          <w:cols w:space="720" w:num="1"/>
          <w:docGrid w:type="lines" w:linePitch="326" w:charSpace="0"/>
        </w:sectPr>
      </w:pPr>
      <w:r>
        <w:rPr>
          <w:rFonts w:hint="eastAsia"/>
        </w:rPr>
        <w:t>资质页</w:t>
      </w:r>
    </w:p>
    <w:p>
      <w:pPr>
        <w:ind w:firstLine="0" w:firstLineChars="0"/>
        <w:jc w:val="center"/>
        <w:rPr>
          <w:rFonts w:ascii="方正小标宋_GBK" w:hAnsi="华文中宋" w:eastAsia="方正小标宋_GBK"/>
          <w:kern w:val="0"/>
          <w:sz w:val="38"/>
          <w:szCs w:val="38"/>
        </w:rPr>
      </w:pPr>
      <w:r>
        <w:rPr>
          <w:rFonts w:hint="eastAsia" w:ascii="方正小标宋_GBK" w:hAnsi="华文中宋" w:eastAsia="方正小标宋_GBK" w:cs="方正小标宋_GBK"/>
          <w:sz w:val="38"/>
          <w:szCs w:val="38"/>
        </w:rPr>
        <w:t>建设项目环境影响报告书（表）</w:t>
      </w:r>
    </w:p>
    <w:p>
      <w:pPr>
        <w:ind w:firstLine="0" w:firstLineChars="0"/>
        <w:jc w:val="center"/>
        <w:rPr>
          <w:rFonts w:ascii="方正小标宋_GBK" w:hAnsi="华文中宋" w:eastAsia="方正小标宋_GBK"/>
          <w:sz w:val="38"/>
          <w:szCs w:val="38"/>
        </w:rPr>
      </w:pPr>
      <w:r>
        <w:rPr>
          <w:rFonts w:hint="eastAsia" w:ascii="方正小标宋_GBK" w:hAnsi="华文中宋" w:eastAsia="方正小标宋_GBK" w:cs="方正小标宋_GBK"/>
          <w:sz w:val="38"/>
          <w:szCs w:val="38"/>
        </w:rPr>
        <w:t>编制情况承诺书</w:t>
      </w:r>
    </w:p>
    <w:p>
      <w:pPr>
        <w:spacing w:line="408" w:lineRule="auto"/>
        <w:ind w:firstLine="480"/>
        <w:jc w:val="left"/>
        <w:rPr>
          <w:rFonts w:ascii="黑体" w:hAnsi="黑体" w:eastAsia="黑体"/>
        </w:rPr>
      </w:pPr>
    </w:p>
    <w:p>
      <w:pPr>
        <w:snapToGrid/>
        <w:ind w:firstLine="616"/>
        <w:rPr>
          <w:rFonts w:ascii="仿宋_GB2312" w:hAnsi="仿宋" w:eastAsia="仿宋_GB2312" w:cs="仿宋_GB2312"/>
          <w:spacing w:val="4"/>
          <w:sz w:val="30"/>
          <w:szCs w:val="30"/>
        </w:rPr>
      </w:pPr>
      <w:r>
        <w:rPr>
          <w:rFonts w:hint="eastAsia" w:ascii="仿宋_GB2312" w:hAnsi="仿宋" w:eastAsia="仿宋_GB2312" w:cs="仿宋_GB2312"/>
          <w:spacing w:val="4"/>
          <w:sz w:val="30"/>
          <w:szCs w:val="30"/>
        </w:rPr>
        <w:t>本单位</w:t>
      </w:r>
      <w:r>
        <w:rPr>
          <w:rFonts w:hint="eastAsia" w:ascii="仿宋_GB2312" w:hAnsi="仿宋" w:eastAsia="仿宋_GB2312" w:cs="仿宋_GB2312"/>
          <w:spacing w:val="4"/>
          <w:sz w:val="30"/>
          <w:szCs w:val="30"/>
          <w:u w:val="single"/>
        </w:rPr>
        <w:t xml:space="preserve"> 广东环科技术咨询有限公司 </w:t>
      </w:r>
      <w:r>
        <w:rPr>
          <w:rFonts w:hint="eastAsia" w:ascii="仿宋_GB2312" w:hAnsi="仿宋" w:eastAsia="仿宋_GB2312" w:cs="仿宋_GB2312"/>
          <w:spacing w:val="4"/>
          <w:sz w:val="30"/>
          <w:szCs w:val="30"/>
        </w:rPr>
        <w:t>（统一社会信用代码</w:t>
      </w:r>
      <w:r>
        <w:rPr>
          <w:rFonts w:hint="eastAsia" w:ascii="仿宋_GB2312" w:hAnsi="仿宋" w:eastAsia="仿宋_GB2312" w:cs="仿宋_GB2312"/>
          <w:spacing w:val="4"/>
          <w:sz w:val="30"/>
          <w:szCs w:val="30"/>
          <w:u w:val="single"/>
        </w:rPr>
        <w:t xml:space="preserve">  91440900592116401L </w:t>
      </w:r>
      <w:r>
        <w:rPr>
          <w:rFonts w:hint="eastAsia" w:ascii="仿宋_GB2312" w:hAnsi="仿宋" w:eastAsia="仿宋_GB2312" w:cs="仿宋_GB2312"/>
          <w:spacing w:val="4"/>
          <w:sz w:val="30"/>
          <w:szCs w:val="30"/>
        </w:rPr>
        <w:t>）郑重承诺：本单位符合《建设项目环境影响报告书（表）编制监督管理办法》第九条第一款规定，无该条第三款所列情形，</w:t>
      </w:r>
      <w:r>
        <w:rPr>
          <w:rFonts w:hint="eastAsia" w:ascii="仿宋_GB2312" w:hAnsi="仿宋" w:eastAsia="仿宋_GB2312" w:cs="仿宋_GB2312"/>
          <w:spacing w:val="4"/>
          <w:sz w:val="30"/>
          <w:szCs w:val="30"/>
          <w:u w:val="single"/>
        </w:rPr>
        <w:t xml:space="preserve"> 不属于 </w:t>
      </w:r>
      <w:r>
        <w:rPr>
          <w:rFonts w:hint="eastAsia" w:ascii="仿宋_GB2312" w:hAnsi="仿宋" w:eastAsia="仿宋_GB2312" w:cs="仿宋_GB2312"/>
          <w:spacing w:val="4"/>
          <w:sz w:val="30"/>
          <w:szCs w:val="30"/>
        </w:rPr>
        <w:t>（属于/不属于）该条第二款所列单位；本次在环境影响评价信用平台提交的由本单位主持编制的</w:t>
      </w:r>
      <w:r>
        <w:rPr>
          <w:rFonts w:hint="eastAsia" w:ascii="仿宋_GB2312" w:hAnsi="仿宋" w:eastAsia="仿宋_GB2312" w:cs="仿宋_GB2312"/>
          <w:spacing w:val="4"/>
          <w:sz w:val="30"/>
          <w:szCs w:val="30"/>
          <w:u w:val="single"/>
        </w:rPr>
        <w:t>茂名市人民医院新福门诊病房改工程项目</w:t>
      </w:r>
      <w:r>
        <w:rPr>
          <w:rFonts w:hint="eastAsia" w:ascii="仿宋_GB2312" w:hAnsi="仿宋" w:eastAsia="仿宋_GB2312" w:cs="仿宋_GB2312"/>
          <w:spacing w:val="4"/>
          <w:sz w:val="30"/>
          <w:szCs w:val="30"/>
        </w:rPr>
        <w:t>环境影响报告书（表）基本情况信息真实准确、完整有效，不涉及国家秘密；该项目环境影响报告书（表）的编制主持人为</w:t>
      </w:r>
      <w:r>
        <w:rPr>
          <w:rFonts w:hint="eastAsia" w:ascii="仿宋_GB2312" w:hAnsi="仿宋" w:eastAsia="仿宋_GB2312" w:cs="仿宋_GB2312"/>
          <w:spacing w:val="4"/>
          <w:sz w:val="30"/>
          <w:szCs w:val="30"/>
          <w:u w:val="single"/>
        </w:rPr>
        <w:t xml:space="preserve">  刘飞  </w:t>
      </w:r>
      <w:r>
        <w:rPr>
          <w:rFonts w:hint="eastAsia" w:ascii="仿宋_GB2312" w:hAnsi="仿宋" w:eastAsia="仿宋_GB2312" w:cs="仿宋_GB2312"/>
          <w:spacing w:val="4"/>
          <w:sz w:val="30"/>
          <w:szCs w:val="30"/>
        </w:rPr>
        <w:t>（环境影响评价工程师职业资格证书管理号</w:t>
      </w:r>
      <w:r>
        <w:rPr>
          <w:rFonts w:hint="eastAsia" w:ascii="仿宋_GB2312" w:hAnsi="仿宋" w:eastAsia="仿宋_GB2312" w:cs="仿宋_GB2312"/>
          <w:spacing w:val="4"/>
          <w:sz w:val="30"/>
          <w:szCs w:val="30"/>
          <w:u w:val="single"/>
        </w:rPr>
        <w:t xml:space="preserve"> 20190503511000001</w:t>
      </w:r>
      <w:r>
        <w:rPr>
          <w:rFonts w:hint="eastAsia" w:ascii="仿宋_GB2312" w:hAnsi="仿宋" w:eastAsia="仿宋_GB2312" w:cs="仿宋_GB2312"/>
          <w:spacing w:val="4"/>
          <w:sz w:val="30"/>
          <w:szCs w:val="30"/>
        </w:rPr>
        <w:t>0，信用编号</w:t>
      </w:r>
      <w:r>
        <w:rPr>
          <w:rFonts w:hint="eastAsia" w:ascii="仿宋_GB2312" w:hAnsi="仿宋" w:eastAsia="仿宋_GB2312" w:cs="仿宋_GB2312"/>
          <w:spacing w:val="4"/>
          <w:sz w:val="30"/>
          <w:szCs w:val="30"/>
          <w:u w:val="single"/>
        </w:rPr>
        <w:t xml:space="preserve"> BH024612 </w:t>
      </w:r>
      <w:r>
        <w:rPr>
          <w:rFonts w:hint="eastAsia" w:ascii="仿宋_GB2312" w:hAnsi="仿宋" w:eastAsia="仿宋_GB2312" w:cs="仿宋_GB2312"/>
          <w:spacing w:val="4"/>
          <w:sz w:val="30"/>
          <w:szCs w:val="30"/>
        </w:rPr>
        <w:t>），主要编制人员包括</w:t>
      </w:r>
      <w:r>
        <w:rPr>
          <w:rFonts w:hint="eastAsia" w:ascii="仿宋_GB2312" w:hAnsi="仿宋" w:eastAsia="仿宋_GB2312" w:cs="仿宋_GB2312"/>
          <w:spacing w:val="4"/>
          <w:sz w:val="30"/>
          <w:szCs w:val="30"/>
          <w:u w:val="single"/>
        </w:rPr>
        <w:t xml:space="preserve"> 刘飞 </w:t>
      </w:r>
      <w:r>
        <w:rPr>
          <w:rFonts w:hint="eastAsia" w:ascii="仿宋_GB2312" w:hAnsi="仿宋" w:eastAsia="仿宋_GB2312" w:cs="仿宋_GB2312"/>
          <w:spacing w:val="4"/>
          <w:sz w:val="30"/>
          <w:szCs w:val="30"/>
        </w:rPr>
        <w:t>（信用编号 BH024612 ）、</w:t>
      </w:r>
      <w:r>
        <w:rPr>
          <w:rFonts w:hint="eastAsia" w:ascii="仿宋_GB2312" w:hAnsi="仿宋" w:eastAsia="仿宋_GB2312" w:cs="仿宋_GB2312"/>
          <w:spacing w:val="4"/>
          <w:sz w:val="30"/>
          <w:szCs w:val="30"/>
          <w:u w:val="single"/>
        </w:rPr>
        <w:t xml:space="preserve">  茹伟标  </w:t>
      </w:r>
      <w:r>
        <w:rPr>
          <w:rFonts w:hint="eastAsia" w:ascii="仿宋_GB2312" w:hAnsi="仿宋" w:eastAsia="仿宋_GB2312" w:cs="仿宋_GB2312"/>
          <w:spacing w:val="4"/>
          <w:sz w:val="30"/>
          <w:szCs w:val="30"/>
        </w:rPr>
        <w:t>（信用编号</w:t>
      </w:r>
      <w:r>
        <w:rPr>
          <w:rFonts w:hint="eastAsia" w:ascii="仿宋_GB2312" w:hAnsi="仿宋" w:eastAsia="仿宋_GB2312" w:cs="仿宋_GB2312"/>
          <w:spacing w:val="4"/>
          <w:sz w:val="30"/>
          <w:szCs w:val="30"/>
          <w:u w:val="single"/>
        </w:rPr>
        <w:t xml:space="preserve"> </w:t>
      </w:r>
      <w:r>
        <w:rPr>
          <w:rFonts w:ascii="仿宋_GB2312" w:hAnsi="仿宋" w:eastAsia="仿宋_GB2312" w:cs="仿宋_GB2312"/>
          <w:spacing w:val="4"/>
          <w:sz w:val="30"/>
          <w:szCs w:val="30"/>
          <w:u w:val="single"/>
        </w:rPr>
        <w:t>BH046588</w:t>
      </w:r>
      <w:r>
        <w:rPr>
          <w:rFonts w:hint="eastAsia" w:ascii="仿宋_GB2312" w:hAnsi="仿宋" w:eastAsia="仿宋_GB2312" w:cs="仿宋_GB2312"/>
          <w:spacing w:val="4"/>
          <w:sz w:val="30"/>
          <w:szCs w:val="30"/>
          <w:u w:val="single"/>
        </w:rPr>
        <w:t xml:space="preserve"> </w:t>
      </w:r>
      <w:r>
        <w:rPr>
          <w:rFonts w:hint="eastAsia" w:ascii="仿宋_GB2312" w:hAnsi="仿宋" w:eastAsia="仿宋_GB2312" w:cs="仿宋_GB2312"/>
          <w:spacing w:val="4"/>
          <w:sz w:val="30"/>
          <w:szCs w:val="30"/>
        </w:rPr>
        <w:t>）（依次全部列出）等</w:t>
      </w:r>
      <w:r>
        <w:rPr>
          <w:rFonts w:hint="eastAsia" w:ascii="仿宋_GB2312" w:hAnsi="仿宋" w:eastAsia="仿宋_GB2312" w:cs="仿宋_GB2312"/>
          <w:spacing w:val="4"/>
          <w:sz w:val="30"/>
          <w:szCs w:val="30"/>
          <w:u w:val="single"/>
        </w:rPr>
        <w:t xml:space="preserve"> 2 </w:t>
      </w:r>
      <w:r>
        <w:rPr>
          <w:rFonts w:hint="eastAsia" w:ascii="仿宋_GB2312" w:hAnsi="仿宋" w:eastAsia="仿宋_GB2312" w:cs="仿宋_GB2312"/>
          <w:spacing w:val="4"/>
          <w:sz w:val="30"/>
          <w:szCs w:val="30"/>
        </w:rPr>
        <w:t>人，上述人员均为本单位全职人员；本单位和上述编制人员未被列入《建设项目环境影响报告书（表）编制监督管理办法》规定的限期整改名单、环境影响评价失信“黑名单”。</w:t>
      </w:r>
    </w:p>
    <w:p>
      <w:pPr>
        <w:ind w:firstLine="600"/>
        <w:rPr>
          <w:rFonts w:ascii="仿宋_GB2312" w:hAnsi="仿宋" w:eastAsia="仿宋_GB2312"/>
          <w:sz w:val="30"/>
          <w:szCs w:val="30"/>
        </w:rPr>
      </w:pPr>
    </w:p>
    <w:p>
      <w:pPr>
        <w:ind w:firstLine="600"/>
        <w:rPr>
          <w:rFonts w:ascii="仿宋_GB2312" w:hAnsi="仿宋" w:eastAsia="仿宋_GB2312"/>
          <w:sz w:val="30"/>
          <w:szCs w:val="30"/>
        </w:rPr>
      </w:pPr>
      <w:r>
        <w:rPr>
          <w:rFonts w:hint="eastAsia" w:ascii="仿宋_GB2312" w:hAnsi="仿宋" w:eastAsia="仿宋_GB2312" w:cs="仿宋_GB2312"/>
          <w:sz w:val="30"/>
          <w:szCs w:val="30"/>
        </w:rPr>
        <w:t xml:space="preserve">                                 承诺单位(公章)：</w:t>
      </w:r>
    </w:p>
    <w:p>
      <w:pPr>
        <w:pStyle w:val="56"/>
        <w:rPr>
          <w:rFonts w:ascii="仿宋_GB2312" w:hAnsi="仿宋" w:eastAsia="仿宋_GB2312" w:cs="仿宋_GB2312"/>
          <w:sz w:val="30"/>
          <w:szCs w:val="30"/>
        </w:rPr>
      </w:pPr>
      <w:r>
        <w:rPr>
          <w:rFonts w:hint="eastAsia" w:ascii="仿宋_GB2312" w:hAnsi="仿宋" w:eastAsia="仿宋_GB2312" w:cs="仿宋_GB2312"/>
          <w:sz w:val="30"/>
          <w:szCs w:val="30"/>
        </w:rPr>
        <w:t xml:space="preserve">                                    年    月    日</w:t>
      </w:r>
    </w:p>
    <w:p>
      <w:pPr>
        <w:pStyle w:val="56"/>
      </w:pPr>
    </w:p>
    <w:p>
      <w:pPr>
        <w:autoSpaceDE w:val="0"/>
        <w:autoSpaceDN w:val="0"/>
        <w:ind w:firstLine="0" w:firstLineChars="0"/>
        <w:jc w:val="center"/>
        <w:rPr>
          <w:rFonts w:ascii="方正小标宋_GBK" w:hAnsi="华文中宋" w:eastAsia="方正小标宋_GBK"/>
          <w:kern w:val="0"/>
          <w:sz w:val="38"/>
          <w:szCs w:val="38"/>
        </w:rPr>
      </w:pPr>
      <w:r>
        <w:rPr>
          <w:rFonts w:hint="eastAsia" w:ascii="方正小标宋_GBK" w:hAnsi="华文中宋" w:eastAsia="方正小标宋_GBK" w:cs="方正小标宋_GBK"/>
          <w:kern w:val="0"/>
          <w:sz w:val="38"/>
          <w:szCs w:val="38"/>
        </w:rPr>
        <w:t>编</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制</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人</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员</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承</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诺</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书</w:t>
      </w:r>
    </w:p>
    <w:p>
      <w:pPr>
        <w:autoSpaceDE w:val="0"/>
        <w:autoSpaceDN w:val="0"/>
        <w:spacing w:line="408" w:lineRule="auto"/>
        <w:ind w:firstLine="640"/>
        <w:jc w:val="left"/>
        <w:rPr>
          <w:rFonts w:ascii="黑体" w:hAnsi="黑体" w:eastAsia="黑体"/>
          <w:kern w:val="0"/>
          <w:sz w:val="32"/>
          <w:szCs w:val="32"/>
        </w:rPr>
      </w:pPr>
    </w:p>
    <w:p>
      <w:pPr>
        <w:autoSpaceDE w:val="0"/>
        <w:autoSpaceDN w:val="0"/>
        <w:ind w:firstLine="640"/>
        <w:rPr>
          <w:rFonts w:ascii="仿宋" w:hAnsi="仿宋" w:eastAsia="仿宋"/>
          <w:kern w:val="0"/>
          <w:sz w:val="32"/>
          <w:szCs w:val="32"/>
        </w:rPr>
      </w:pPr>
      <w:r>
        <w:rPr>
          <w:rFonts w:eastAsia="方正仿宋_GBK"/>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1649730</wp:posOffset>
                </wp:positionV>
                <wp:extent cx="5649595" cy="2903220"/>
                <wp:effectExtent l="0" t="0" r="27305" b="11430"/>
                <wp:wrapSquare wrapText="bothSides"/>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5649595" cy="2903220"/>
                        </a:xfrm>
                        <a:prstGeom prst="rect">
                          <a:avLst/>
                        </a:prstGeom>
                        <a:solidFill>
                          <a:srgbClr val="FFFFFF"/>
                        </a:solidFill>
                        <a:ln w="9525">
                          <a:solidFill>
                            <a:srgbClr val="000000"/>
                          </a:solidFill>
                          <a:miter lim="800000"/>
                        </a:ln>
                        <a:effectLst/>
                      </wps:spPr>
                      <wps:txbx>
                        <w:txbxContent>
                          <w:p>
                            <w:pPr>
                              <w:ind w:firstLine="600"/>
                              <w:jc w:val="left"/>
                              <w:rPr>
                                <w:rFonts w:ascii="仿宋" w:hAnsi="仿宋" w:eastAsia="仿宋"/>
                                <w:sz w:val="30"/>
                                <w:szCs w:val="30"/>
                              </w:rPr>
                            </w:pPr>
                            <w:r>
                              <w:rPr>
                                <w:rFonts w:ascii="仿宋" w:hAnsi="仿宋" w:eastAsia="仿宋" w:cs="仿宋"/>
                                <w:sz w:val="30"/>
                                <w:szCs w:val="30"/>
                              </w:rPr>
                              <w:t>1.</w:t>
                            </w:r>
                            <w:r>
                              <w:rPr>
                                <w:rFonts w:hint="eastAsia" w:ascii="仿宋" w:hAnsi="仿宋" w:eastAsia="仿宋" w:cs="仿宋"/>
                                <w:sz w:val="30"/>
                                <w:szCs w:val="30"/>
                              </w:rPr>
                              <w:t>首次提交基本情况信息</w:t>
                            </w:r>
                          </w:p>
                          <w:p>
                            <w:pPr>
                              <w:spacing w:line="348" w:lineRule="auto"/>
                              <w:ind w:firstLine="600"/>
                              <w:jc w:val="left"/>
                              <w:rPr>
                                <w:rFonts w:ascii="仿宋" w:hAnsi="仿宋" w:eastAsia="仿宋"/>
                                <w:sz w:val="30"/>
                                <w:szCs w:val="30"/>
                              </w:rPr>
                            </w:pPr>
                            <w:r>
                              <w:rPr>
                                <w:rFonts w:ascii="仿宋" w:hAnsi="仿宋" w:eastAsia="仿宋" w:cs="仿宋"/>
                                <w:sz w:val="30"/>
                                <w:szCs w:val="30"/>
                              </w:rPr>
                              <w:t>2.</w:t>
                            </w:r>
                            <w:r>
                              <w:rPr>
                                <w:rFonts w:hint="eastAsia" w:ascii="仿宋" w:hAnsi="仿宋" w:eastAsia="仿宋" w:cs="仿宋"/>
                                <w:sz w:val="30"/>
                                <w:szCs w:val="30"/>
                              </w:rPr>
                              <w:t>从业单位变更的</w:t>
                            </w:r>
                          </w:p>
                          <w:p>
                            <w:pPr>
                              <w:spacing w:line="348" w:lineRule="auto"/>
                              <w:ind w:firstLine="600"/>
                              <w:jc w:val="left"/>
                              <w:rPr>
                                <w:rFonts w:ascii="仿宋" w:hAnsi="仿宋" w:eastAsia="仿宋"/>
                                <w:sz w:val="30"/>
                                <w:szCs w:val="30"/>
                              </w:rPr>
                            </w:pPr>
                            <w:r>
                              <w:rPr>
                                <w:rFonts w:ascii="仿宋" w:hAnsi="仿宋" w:eastAsia="仿宋" w:cs="仿宋"/>
                                <w:sz w:val="30"/>
                                <w:szCs w:val="30"/>
                              </w:rPr>
                              <w:t>3.</w:t>
                            </w:r>
                            <w:r>
                              <w:rPr>
                                <w:rFonts w:hint="eastAsia" w:ascii="仿宋" w:hAnsi="仿宋" w:eastAsia="仿宋" w:cs="仿宋"/>
                                <w:sz w:val="30"/>
                                <w:szCs w:val="30"/>
                              </w:rPr>
                              <w:t>调离从业单位的</w:t>
                            </w:r>
                          </w:p>
                          <w:p>
                            <w:pPr>
                              <w:spacing w:line="348" w:lineRule="auto"/>
                              <w:ind w:firstLine="600"/>
                              <w:jc w:val="left"/>
                              <w:rPr>
                                <w:rFonts w:ascii="仿宋" w:hAnsi="仿宋" w:eastAsia="仿宋"/>
                                <w:sz w:val="30"/>
                                <w:szCs w:val="30"/>
                              </w:rPr>
                            </w:pPr>
                            <w:r>
                              <w:rPr>
                                <w:rFonts w:ascii="仿宋" w:hAnsi="仿宋" w:eastAsia="仿宋" w:cs="仿宋"/>
                                <w:sz w:val="30"/>
                                <w:szCs w:val="30"/>
                              </w:rPr>
                              <w:t>4.</w:t>
                            </w:r>
                            <w:r>
                              <w:rPr>
                                <w:rFonts w:hint="eastAsia" w:ascii="仿宋" w:hAnsi="仿宋" w:eastAsia="仿宋" w:cs="仿宋"/>
                                <w:sz w:val="30"/>
                                <w:szCs w:val="30"/>
                              </w:rPr>
                              <w:t>建立诚信档案后取得环境影响评价工程师职业资格证书的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5</w:t>
                            </w:r>
                            <w:r>
                              <w:rPr>
                                <w:rFonts w:ascii="仿宋" w:hAnsi="仿宋" w:eastAsia="仿宋" w:cs="仿宋"/>
                                <w:sz w:val="30"/>
                                <w:szCs w:val="30"/>
                              </w:rPr>
                              <w:t>.</w:t>
                            </w:r>
                            <w:r>
                              <w:rPr>
                                <w:rFonts w:hint="eastAsia" w:ascii="仿宋" w:hAnsi="仿宋" w:eastAsia="仿宋" w:cs="仿宋"/>
                                <w:sz w:val="30"/>
                                <w:szCs w:val="30"/>
                              </w:rPr>
                              <w:t>被注销后从业单位变更的</w:t>
                            </w:r>
                          </w:p>
                          <w:p>
                            <w:pPr>
                              <w:spacing w:line="348" w:lineRule="auto"/>
                              <w:ind w:firstLine="600"/>
                              <w:jc w:val="left"/>
                              <w:rPr>
                                <w:rFonts w:ascii="仿宋" w:hAnsi="仿宋" w:eastAsia="仿宋" w:cs="仿宋"/>
                                <w:sz w:val="30"/>
                                <w:szCs w:val="30"/>
                              </w:rPr>
                            </w:pPr>
                            <w:r>
                              <w:rPr>
                                <w:rFonts w:hint="eastAsia" w:ascii="仿宋" w:hAnsi="仿宋" w:eastAsia="仿宋" w:cs="仿宋"/>
                                <w:sz w:val="30"/>
                                <w:szCs w:val="30"/>
                              </w:rPr>
                              <w:t>6.被注销后调回原从业单位的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7</w:t>
                            </w:r>
                            <w:r>
                              <w:rPr>
                                <w:rFonts w:ascii="仿宋" w:hAnsi="仿宋" w:eastAsia="仿宋" w:cs="仿宋"/>
                                <w:sz w:val="30"/>
                                <w:szCs w:val="30"/>
                              </w:rPr>
                              <w:t>.</w:t>
                            </w:r>
                            <w:r>
                              <w:rPr>
                                <w:rFonts w:hint="eastAsia" w:ascii="仿宋" w:hAnsi="仿宋" w:eastAsia="仿宋" w:cs="仿宋"/>
                                <w:sz w:val="30"/>
                                <w:szCs w:val="30"/>
                              </w:rPr>
                              <w:t>编制单位终止的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8.补正基本情况信息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129.9pt;height:228.6pt;width:444.85pt;mso-wrap-distance-bottom:0pt;mso-wrap-distance-left:9pt;mso-wrap-distance-right:9pt;mso-wrap-distance-top:0pt;z-index:251659264;mso-width-relative:page;mso-height-relative:page;" fillcolor="#FFFFFF" filled="t" stroked="t" coordsize="21600,21600" o:gfxdata="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n5X462AAAAAgBAAAPAAAAAAAA&#10;AAEAIAAAACIAAABkcnMvZG93bnJldi54bWxQSwECFAAUAAAACACHTuJAzGfpVUsCAACYBAAADgAA&#10;AAAAAAABACAAAAAnAQAAZHJzL2Uyb0RvYy54bWxQSwUGAAAAAAYABgBZAQAA5AUAAAAA&#10;">
                <v:fill on="t" focussize="0,0"/>
                <v:stroke color="#000000" miterlimit="8" joinstyle="miter"/>
                <v:imagedata o:title=""/>
                <o:lock v:ext="edit" aspectratio="f"/>
                <v:textbox>
                  <w:txbxContent>
                    <w:p>
                      <w:pPr>
                        <w:ind w:firstLine="600"/>
                        <w:jc w:val="left"/>
                        <w:rPr>
                          <w:rFonts w:ascii="仿宋" w:hAnsi="仿宋" w:eastAsia="仿宋"/>
                          <w:sz w:val="30"/>
                          <w:szCs w:val="30"/>
                        </w:rPr>
                      </w:pPr>
                      <w:r>
                        <w:rPr>
                          <w:rFonts w:ascii="仿宋" w:hAnsi="仿宋" w:eastAsia="仿宋" w:cs="仿宋"/>
                          <w:sz w:val="30"/>
                          <w:szCs w:val="30"/>
                        </w:rPr>
                        <w:t>1.</w:t>
                      </w:r>
                      <w:r>
                        <w:rPr>
                          <w:rFonts w:hint="eastAsia" w:ascii="仿宋" w:hAnsi="仿宋" w:eastAsia="仿宋" w:cs="仿宋"/>
                          <w:sz w:val="30"/>
                          <w:szCs w:val="30"/>
                        </w:rPr>
                        <w:t>首次提交基本情况信息</w:t>
                      </w:r>
                    </w:p>
                    <w:p>
                      <w:pPr>
                        <w:spacing w:line="348" w:lineRule="auto"/>
                        <w:ind w:firstLine="600"/>
                        <w:jc w:val="left"/>
                        <w:rPr>
                          <w:rFonts w:ascii="仿宋" w:hAnsi="仿宋" w:eastAsia="仿宋"/>
                          <w:sz w:val="30"/>
                          <w:szCs w:val="30"/>
                        </w:rPr>
                      </w:pPr>
                      <w:r>
                        <w:rPr>
                          <w:rFonts w:ascii="仿宋" w:hAnsi="仿宋" w:eastAsia="仿宋" w:cs="仿宋"/>
                          <w:sz w:val="30"/>
                          <w:szCs w:val="30"/>
                        </w:rPr>
                        <w:t>2.</w:t>
                      </w:r>
                      <w:r>
                        <w:rPr>
                          <w:rFonts w:hint="eastAsia" w:ascii="仿宋" w:hAnsi="仿宋" w:eastAsia="仿宋" w:cs="仿宋"/>
                          <w:sz w:val="30"/>
                          <w:szCs w:val="30"/>
                        </w:rPr>
                        <w:t>从业单位变更的</w:t>
                      </w:r>
                    </w:p>
                    <w:p>
                      <w:pPr>
                        <w:spacing w:line="348" w:lineRule="auto"/>
                        <w:ind w:firstLine="600"/>
                        <w:jc w:val="left"/>
                        <w:rPr>
                          <w:rFonts w:ascii="仿宋" w:hAnsi="仿宋" w:eastAsia="仿宋"/>
                          <w:sz w:val="30"/>
                          <w:szCs w:val="30"/>
                        </w:rPr>
                      </w:pPr>
                      <w:r>
                        <w:rPr>
                          <w:rFonts w:ascii="仿宋" w:hAnsi="仿宋" w:eastAsia="仿宋" w:cs="仿宋"/>
                          <w:sz w:val="30"/>
                          <w:szCs w:val="30"/>
                        </w:rPr>
                        <w:t>3.</w:t>
                      </w:r>
                      <w:r>
                        <w:rPr>
                          <w:rFonts w:hint="eastAsia" w:ascii="仿宋" w:hAnsi="仿宋" w:eastAsia="仿宋" w:cs="仿宋"/>
                          <w:sz w:val="30"/>
                          <w:szCs w:val="30"/>
                        </w:rPr>
                        <w:t>调离从业单位的</w:t>
                      </w:r>
                    </w:p>
                    <w:p>
                      <w:pPr>
                        <w:spacing w:line="348" w:lineRule="auto"/>
                        <w:ind w:firstLine="600"/>
                        <w:jc w:val="left"/>
                        <w:rPr>
                          <w:rFonts w:ascii="仿宋" w:hAnsi="仿宋" w:eastAsia="仿宋"/>
                          <w:sz w:val="30"/>
                          <w:szCs w:val="30"/>
                        </w:rPr>
                      </w:pPr>
                      <w:r>
                        <w:rPr>
                          <w:rFonts w:ascii="仿宋" w:hAnsi="仿宋" w:eastAsia="仿宋" w:cs="仿宋"/>
                          <w:sz w:val="30"/>
                          <w:szCs w:val="30"/>
                        </w:rPr>
                        <w:t>4.</w:t>
                      </w:r>
                      <w:r>
                        <w:rPr>
                          <w:rFonts w:hint="eastAsia" w:ascii="仿宋" w:hAnsi="仿宋" w:eastAsia="仿宋" w:cs="仿宋"/>
                          <w:sz w:val="30"/>
                          <w:szCs w:val="30"/>
                        </w:rPr>
                        <w:t>建立诚信档案后取得环境影响评价工程师职业资格证书的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5</w:t>
                      </w:r>
                      <w:r>
                        <w:rPr>
                          <w:rFonts w:ascii="仿宋" w:hAnsi="仿宋" w:eastAsia="仿宋" w:cs="仿宋"/>
                          <w:sz w:val="30"/>
                          <w:szCs w:val="30"/>
                        </w:rPr>
                        <w:t>.</w:t>
                      </w:r>
                      <w:r>
                        <w:rPr>
                          <w:rFonts w:hint="eastAsia" w:ascii="仿宋" w:hAnsi="仿宋" w:eastAsia="仿宋" w:cs="仿宋"/>
                          <w:sz w:val="30"/>
                          <w:szCs w:val="30"/>
                        </w:rPr>
                        <w:t>被注销后从业单位变更的</w:t>
                      </w:r>
                    </w:p>
                    <w:p>
                      <w:pPr>
                        <w:spacing w:line="348" w:lineRule="auto"/>
                        <w:ind w:firstLine="600"/>
                        <w:jc w:val="left"/>
                        <w:rPr>
                          <w:rFonts w:ascii="仿宋" w:hAnsi="仿宋" w:eastAsia="仿宋" w:cs="仿宋"/>
                          <w:sz w:val="30"/>
                          <w:szCs w:val="30"/>
                        </w:rPr>
                      </w:pPr>
                      <w:r>
                        <w:rPr>
                          <w:rFonts w:hint="eastAsia" w:ascii="仿宋" w:hAnsi="仿宋" w:eastAsia="仿宋" w:cs="仿宋"/>
                          <w:sz w:val="30"/>
                          <w:szCs w:val="30"/>
                        </w:rPr>
                        <w:t>6.被注销后调回原从业单位的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7</w:t>
                      </w:r>
                      <w:r>
                        <w:rPr>
                          <w:rFonts w:ascii="仿宋" w:hAnsi="仿宋" w:eastAsia="仿宋" w:cs="仿宋"/>
                          <w:sz w:val="30"/>
                          <w:szCs w:val="30"/>
                        </w:rPr>
                        <w:t>.</w:t>
                      </w:r>
                      <w:r>
                        <w:rPr>
                          <w:rFonts w:hint="eastAsia" w:ascii="仿宋" w:hAnsi="仿宋" w:eastAsia="仿宋" w:cs="仿宋"/>
                          <w:sz w:val="30"/>
                          <w:szCs w:val="30"/>
                        </w:rPr>
                        <w:t>编制单位终止的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8.补正基本情况信息</w:t>
                      </w:r>
                    </w:p>
                  </w:txbxContent>
                </v:textbox>
                <w10:wrap type="square"/>
              </v:shape>
            </w:pict>
          </mc:Fallback>
        </mc:AlternateContent>
      </w:r>
      <w:bookmarkStart w:id="2" w:name="_Hlk37162739"/>
      <w:r>
        <w:rPr>
          <w:rFonts w:ascii="仿宋_GB2312" w:hAnsi="仿宋" w:eastAsia="仿宋_GB2312" w:cs="仿宋_GB2312"/>
          <w:kern w:val="0"/>
          <w:sz w:val="30"/>
          <w:szCs w:val="30"/>
          <w:u w:val="single"/>
        </w:rPr>
        <w:t xml:space="preserve"> </w:t>
      </w:r>
      <w:r>
        <w:rPr>
          <w:rFonts w:hint="eastAsia" w:ascii="仿宋_GB2312" w:hAnsi="仿宋" w:eastAsia="仿宋_GB2312" w:cs="仿宋_GB2312"/>
          <w:sz w:val="30"/>
          <w:szCs w:val="30"/>
          <w:u w:val="single"/>
        </w:rPr>
        <w:t>刘飞</w:t>
      </w:r>
      <w:r>
        <w:rPr>
          <w:rFonts w:ascii="仿宋_GB2312" w:hAnsi="仿宋" w:eastAsia="仿宋_GB2312" w:cs="仿宋_GB2312"/>
          <w:kern w:val="0"/>
          <w:sz w:val="30"/>
          <w:szCs w:val="30"/>
          <w:u w:val="single"/>
        </w:rPr>
        <w:t xml:space="preserve"> </w:t>
      </w:r>
      <w:r>
        <w:rPr>
          <w:rFonts w:hint="eastAsia" w:ascii="仿宋_GB2312" w:hAnsi="仿宋" w:eastAsia="仿宋_GB2312" w:cs="仿宋_GB2312"/>
          <w:kern w:val="0"/>
          <w:sz w:val="30"/>
          <w:szCs w:val="30"/>
        </w:rPr>
        <w:t>（身份证件号码</w:t>
      </w:r>
      <w:r>
        <w:rPr>
          <w:rFonts w:ascii="仿宋_GB2312" w:hAnsi="仿宋" w:eastAsia="仿宋_GB2312" w:cs="仿宋_GB2312"/>
          <w:kern w:val="0"/>
          <w:sz w:val="30"/>
          <w:szCs w:val="30"/>
          <w:u w:val="single"/>
        </w:rPr>
        <w:t xml:space="preserve"> 371083198602182019 </w:t>
      </w:r>
      <w:r>
        <w:rPr>
          <w:rFonts w:hint="eastAsia" w:ascii="仿宋_GB2312" w:hAnsi="仿宋" w:eastAsia="仿宋_GB2312" w:cs="仿宋_GB2312"/>
          <w:kern w:val="0"/>
          <w:sz w:val="30"/>
          <w:szCs w:val="30"/>
        </w:rPr>
        <w:t>）</w:t>
      </w:r>
      <w:bookmarkEnd w:id="2"/>
      <w:r>
        <w:rPr>
          <w:rFonts w:hint="eastAsia" w:ascii="仿宋_GB2312" w:hAnsi="仿宋" w:eastAsia="仿宋_GB2312" w:cs="仿宋_GB2312"/>
          <w:kern w:val="0"/>
          <w:sz w:val="30"/>
          <w:szCs w:val="30"/>
        </w:rPr>
        <w:t>郑重承诺：本人在</w:t>
      </w:r>
      <w:r>
        <w:rPr>
          <w:rFonts w:ascii="仿宋_GB2312" w:hAnsi="仿宋" w:eastAsia="仿宋_GB2312" w:cs="仿宋_GB2312"/>
          <w:kern w:val="0"/>
          <w:sz w:val="30"/>
          <w:szCs w:val="30"/>
          <w:u w:val="single"/>
        </w:rPr>
        <w:t xml:space="preserve"> </w:t>
      </w:r>
      <w:r>
        <w:rPr>
          <w:rFonts w:hint="eastAsia" w:ascii="仿宋_GB2312" w:hAnsi="仿宋" w:eastAsia="仿宋_GB2312" w:cs="仿宋_GB2312"/>
          <w:kern w:val="0"/>
          <w:sz w:val="30"/>
          <w:szCs w:val="30"/>
          <w:u w:val="single"/>
        </w:rPr>
        <w:t>广东环科技术咨询有限公司</w:t>
      </w:r>
      <w:r>
        <w:rPr>
          <w:rFonts w:ascii="仿宋_GB2312" w:hAnsi="仿宋" w:eastAsia="仿宋_GB2312" w:cs="仿宋_GB2312"/>
          <w:kern w:val="0"/>
          <w:sz w:val="30"/>
          <w:szCs w:val="30"/>
          <w:u w:val="single"/>
        </w:rPr>
        <w:t xml:space="preserve"> </w:t>
      </w:r>
      <w:r>
        <w:rPr>
          <w:rFonts w:hint="eastAsia" w:ascii="仿宋_GB2312" w:hAnsi="仿宋" w:eastAsia="仿宋_GB2312" w:cs="仿宋_GB2312"/>
          <w:kern w:val="0"/>
          <w:sz w:val="30"/>
          <w:szCs w:val="30"/>
        </w:rPr>
        <w:t>单位（统一社会信用代码</w:t>
      </w:r>
      <w:r>
        <w:rPr>
          <w:rFonts w:ascii="仿宋_GB2312" w:hAnsi="仿宋" w:eastAsia="仿宋_GB2312" w:cs="仿宋_GB2312"/>
          <w:kern w:val="0"/>
          <w:sz w:val="30"/>
          <w:szCs w:val="30"/>
          <w:u w:val="single"/>
        </w:rPr>
        <w:t xml:space="preserve"> 91440900592116401L </w:t>
      </w:r>
      <w:r>
        <w:rPr>
          <w:rFonts w:hint="eastAsia" w:ascii="仿宋_GB2312" w:hAnsi="仿宋" w:eastAsia="仿宋_GB2312" w:cs="仿宋_GB2312"/>
          <w:kern w:val="0"/>
          <w:sz w:val="30"/>
          <w:szCs w:val="30"/>
        </w:rPr>
        <w:t>）全职工作，本次在环境影响评价信用平台提交的下列第</w:t>
      </w:r>
      <w:r>
        <w:rPr>
          <w:rFonts w:ascii="仿宋_GB2312" w:hAnsi="仿宋" w:eastAsia="仿宋_GB2312" w:cs="仿宋_GB2312"/>
          <w:kern w:val="0"/>
          <w:sz w:val="30"/>
          <w:szCs w:val="30"/>
          <w:u w:val="single"/>
        </w:rPr>
        <w:t xml:space="preserve"> 1 </w:t>
      </w:r>
      <w:r>
        <w:rPr>
          <w:rFonts w:hint="eastAsia" w:ascii="仿宋_GB2312" w:hAnsi="仿宋" w:eastAsia="仿宋_GB2312" w:cs="仿宋_GB2312"/>
          <w:kern w:val="0"/>
          <w:sz w:val="30"/>
          <w:szCs w:val="30"/>
        </w:rPr>
        <w:t>项相关情况信息真实准确、完整有效。</w:t>
      </w:r>
    </w:p>
    <w:p>
      <w:pPr>
        <w:pStyle w:val="312"/>
        <w:ind w:left="480" w:firstLine="480"/>
      </w:pPr>
    </w:p>
    <w:p>
      <w:pPr>
        <w:pStyle w:val="10"/>
        <w:ind w:firstLine="480"/>
      </w:pPr>
    </w:p>
    <w:p>
      <w:pPr>
        <w:autoSpaceDE w:val="0"/>
        <w:autoSpaceDN w:val="0"/>
        <w:ind w:firstLine="600"/>
        <w:rPr>
          <w:rFonts w:ascii="仿宋" w:hAnsi="仿宋" w:eastAsia="仿宋" w:cs="仿宋"/>
          <w:kern w:val="0"/>
          <w:sz w:val="30"/>
          <w:szCs w:val="30"/>
        </w:rPr>
      </w:pPr>
      <w:r>
        <w:rPr>
          <w:rFonts w:ascii="仿宋" w:hAnsi="仿宋" w:eastAsia="仿宋" w:cs="仿宋"/>
          <w:kern w:val="0"/>
          <w:sz w:val="30"/>
          <w:szCs w:val="30"/>
        </w:rPr>
        <w:t xml:space="preserve">                              </w:t>
      </w:r>
      <w:r>
        <w:rPr>
          <w:rFonts w:hint="eastAsia" w:ascii="仿宋" w:hAnsi="仿宋" w:eastAsia="仿宋" w:cs="仿宋"/>
          <w:kern w:val="0"/>
          <w:sz w:val="30"/>
          <w:szCs w:val="30"/>
        </w:rPr>
        <w:t>承诺人</w:t>
      </w:r>
      <w:r>
        <w:rPr>
          <w:rFonts w:ascii="仿宋" w:hAnsi="仿宋" w:eastAsia="仿宋" w:cs="仿宋"/>
          <w:kern w:val="0"/>
          <w:sz w:val="30"/>
          <w:szCs w:val="30"/>
        </w:rPr>
        <w:t>(</w:t>
      </w:r>
      <w:r>
        <w:rPr>
          <w:rFonts w:hint="eastAsia" w:ascii="仿宋" w:hAnsi="仿宋" w:eastAsia="仿宋" w:cs="仿宋"/>
          <w:kern w:val="0"/>
          <w:sz w:val="30"/>
          <w:szCs w:val="30"/>
        </w:rPr>
        <w:t>签字</w:t>
      </w:r>
      <w:r>
        <w:rPr>
          <w:rFonts w:ascii="仿宋" w:hAnsi="仿宋" w:eastAsia="仿宋" w:cs="仿宋"/>
          <w:kern w:val="0"/>
          <w:sz w:val="30"/>
          <w:szCs w:val="30"/>
        </w:rPr>
        <w:t>)</w:t>
      </w:r>
      <w:r>
        <w:rPr>
          <w:rFonts w:hint="eastAsia" w:ascii="仿宋" w:hAnsi="仿宋" w:eastAsia="仿宋" w:cs="仿宋"/>
          <w:kern w:val="0"/>
          <w:sz w:val="30"/>
          <w:szCs w:val="30"/>
        </w:rPr>
        <w:t>：</w:t>
      </w:r>
      <w:r>
        <w:rPr>
          <w:rFonts w:ascii="仿宋" w:hAnsi="仿宋" w:eastAsia="仿宋" w:cs="仿宋"/>
          <w:kern w:val="0"/>
          <w:sz w:val="30"/>
          <w:szCs w:val="30"/>
        </w:rPr>
        <w:t xml:space="preserve">           </w:t>
      </w:r>
    </w:p>
    <w:p>
      <w:pPr>
        <w:ind w:firstLine="600"/>
        <w:rPr>
          <w:lang w:val="zh-CN"/>
        </w:rPr>
        <w:sectPr>
          <w:pgSz w:w="11906" w:h="16838"/>
          <w:pgMar w:top="1440" w:right="1800" w:bottom="1440" w:left="1800" w:header="851" w:footer="992" w:gutter="0"/>
          <w:cols w:space="720" w:num="1"/>
          <w:docGrid w:type="lines" w:linePitch="326" w:charSpace="0"/>
        </w:sectPr>
      </w:pPr>
      <w:r>
        <w:rPr>
          <w:rFonts w:ascii="仿宋" w:hAnsi="仿宋" w:eastAsia="仿宋" w:cs="仿宋"/>
          <w:kern w:val="0"/>
          <w:sz w:val="30"/>
          <w:szCs w:val="30"/>
        </w:rPr>
        <w:t xml:space="preserve">                                  </w:t>
      </w:r>
      <w:r>
        <w:rPr>
          <w:rFonts w:hint="eastAsia" w:ascii="仿宋" w:hAnsi="仿宋" w:eastAsia="仿宋" w:cs="仿宋"/>
          <w:kern w:val="0"/>
          <w:sz w:val="30"/>
          <w:szCs w:val="30"/>
        </w:rPr>
        <w:t>年</w:t>
      </w:r>
      <w:r>
        <w:rPr>
          <w:rFonts w:ascii="仿宋" w:hAnsi="仿宋" w:eastAsia="仿宋" w:cs="仿宋"/>
          <w:kern w:val="0"/>
          <w:sz w:val="30"/>
          <w:szCs w:val="30"/>
        </w:rPr>
        <w:t xml:space="preserve">     </w:t>
      </w:r>
      <w:r>
        <w:rPr>
          <w:rFonts w:hint="eastAsia" w:ascii="仿宋" w:hAnsi="仿宋" w:eastAsia="仿宋" w:cs="仿宋"/>
          <w:kern w:val="0"/>
          <w:sz w:val="30"/>
          <w:szCs w:val="30"/>
        </w:rPr>
        <w:t>月</w:t>
      </w:r>
      <w:r>
        <w:rPr>
          <w:rFonts w:ascii="仿宋" w:hAnsi="仿宋" w:eastAsia="仿宋" w:cs="仿宋"/>
          <w:kern w:val="0"/>
          <w:sz w:val="30"/>
          <w:szCs w:val="30"/>
        </w:rPr>
        <w:t xml:space="preserve">    </w:t>
      </w:r>
      <w:r>
        <w:rPr>
          <w:rFonts w:hint="eastAsia" w:ascii="仿宋" w:hAnsi="仿宋" w:eastAsia="仿宋" w:cs="仿宋"/>
          <w:kern w:val="0"/>
          <w:sz w:val="30"/>
          <w:szCs w:val="30"/>
        </w:rPr>
        <w:t>日</w:t>
      </w:r>
    </w:p>
    <w:p>
      <w:pPr>
        <w:autoSpaceDE w:val="0"/>
        <w:autoSpaceDN w:val="0"/>
        <w:ind w:firstLine="0" w:firstLineChars="0"/>
        <w:jc w:val="center"/>
        <w:rPr>
          <w:rFonts w:ascii="方正小标宋_GBK" w:hAnsi="华文中宋" w:eastAsia="方正小标宋_GBK" w:cs="方正小标宋_GBK"/>
          <w:kern w:val="0"/>
          <w:sz w:val="38"/>
          <w:szCs w:val="38"/>
        </w:rPr>
      </w:pPr>
    </w:p>
    <w:p>
      <w:pPr>
        <w:autoSpaceDE w:val="0"/>
        <w:autoSpaceDN w:val="0"/>
        <w:ind w:firstLine="0" w:firstLineChars="0"/>
        <w:jc w:val="center"/>
        <w:rPr>
          <w:rFonts w:ascii="方正小标宋_GBK" w:hAnsi="华文中宋" w:eastAsia="方正小标宋_GBK"/>
          <w:kern w:val="0"/>
          <w:sz w:val="38"/>
          <w:szCs w:val="38"/>
        </w:rPr>
      </w:pPr>
      <w:r>
        <w:rPr>
          <w:rFonts w:hint="eastAsia" w:ascii="方正小标宋_GBK" w:hAnsi="华文中宋" w:eastAsia="方正小标宋_GBK" w:cs="方正小标宋_GBK"/>
          <w:kern w:val="0"/>
          <w:sz w:val="38"/>
          <w:szCs w:val="38"/>
        </w:rPr>
        <w:t>编</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制</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人</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员</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承</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诺</w:t>
      </w:r>
      <w:r>
        <w:rPr>
          <w:rFonts w:ascii="方正小标宋_GBK" w:hAnsi="华文中宋" w:eastAsia="方正小标宋_GBK" w:cs="方正小标宋_GBK"/>
          <w:kern w:val="0"/>
          <w:sz w:val="38"/>
          <w:szCs w:val="38"/>
        </w:rPr>
        <w:t xml:space="preserve"> </w:t>
      </w:r>
      <w:r>
        <w:rPr>
          <w:rFonts w:hint="eastAsia" w:ascii="方正小标宋_GBK" w:hAnsi="华文中宋" w:eastAsia="方正小标宋_GBK" w:cs="方正小标宋_GBK"/>
          <w:kern w:val="0"/>
          <w:sz w:val="38"/>
          <w:szCs w:val="38"/>
        </w:rPr>
        <w:t>书</w:t>
      </w:r>
    </w:p>
    <w:p>
      <w:pPr>
        <w:autoSpaceDE w:val="0"/>
        <w:autoSpaceDN w:val="0"/>
        <w:spacing w:line="408" w:lineRule="auto"/>
        <w:ind w:firstLine="640"/>
        <w:jc w:val="left"/>
        <w:rPr>
          <w:rFonts w:ascii="黑体" w:hAnsi="黑体" w:eastAsia="黑体"/>
          <w:kern w:val="0"/>
          <w:sz w:val="32"/>
          <w:szCs w:val="32"/>
        </w:rPr>
      </w:pPr>
    </w:p>
    <w:p>
      <w:pPr>
        <w:autoSpaceDE w:val="0"/>
        <w:autoSpaceDN w:val="0"/>
        <w:ind w:firstLine="600"/>
        <w:rPr>
          <w:rFonts w:ascii="仿宋_GB2312" w:hAnsi="仿宋" w:eastAsia="仿宋_GB2312"/>
          <w:kern w:val="0"/>
          <w:sz w:val="30"/>
          <w:szCs w:val="30"/>
        </w:rPr>
      </w:pPr>
      <w:r>
        <w:rPr>
          <w:rFonts w:ascii="仿宋_GB2312" w:hAnsi="仿宋" w:eastAsia="仿宋_GB2312" w:cs="仿宋_GB2312"/>
          <w:kern w:val="0"/>
          <w:sz w:val="30"/>
          <w:szCs w:val="30"/>
          <w:u w:val="single"/>
        </w:rPr>
        <w:t xml:space="preserve"> </w:t>
      </w:r>
      <w:r>
        <w:rPr>
          <w:rFonts w:hint="eastAsia" w:ascii="仿宋_GB2312" w:hAnsi="仿宋" w:eastAsia="仿宋_GB2312" w:cs="仿宋_GB2312"/>
          <w:kern w:val="0"/>
          <w:sz w:val="30"/>
          <w:szCs w:val="30"/>
          <w:u w:val="single"/>
        </w:rPr>
        <w:t>茹伟标</w:t>
      </w:r>
      <w:r>
        <w:rPr>
          <w:rFonts w:ascii="仿宋_GB2312" w:hAnsi="仿宋" w:eastAsia="仿宋_GB2312" w:cs="仿宋_GB2312"/>
          <w:kern w:val="0"/>
          <w:sz w:val="30"/>
          <w:szCs w:val="30"/>
          <w:u w:val="single"/>
        </w:rPr>
        <w:t xml:space="preserve"> </w:t>
      </w:r>
      <w:r>
        <w:rPr>
          <w:rFonts w:hint="eastAsia" w:ascii="仿宋_GB2312" w:hAnsi="仿宋" w:eastAsia="仿宋_GB2312" w:cs="仿宋_GB2312"/>
          <w:kern w:val="0"/>
          <w:sz w:val="30"/>
          <w:szCs w:val="30"/>
        </w:rPr>
        <w:t>（身份证件号码</w:t>
      </w:r>
      <w:r>
        <w:rPr>
          <w:rFonts w:ascii="仿宋_GB2312" w:hAnsi="仿宋" w:eastAsia="仿宋_GB2312" w:cs="仿宋_GB2312"/>
          <w:kern w:val="0"/>
          <w:sz w:val="30"/>
          <w:szCs w:val="30"/>
          <w:u w:val="single"/>
        </w:rPr>
        <w:t xml:space="preserve"> 440902199907262872 </w:t>
      </w:r>
      <w:r>
        <w:rPr>
          <w:rFonts w:hint="eastAsia" w:ascii="仿宋_GB2312" w:hAnsi="仿宋" w:eastAsia="仿宋_GB2312" w:cs="仿宋_GB2312"/>
          <w:kern w:val="0"/>
          <w:sz w:val="30"/>
          <w:szCs w:val="30"/>
        </w:rPr>
        <w:t>）郑重承诺：本人在</w:t>
      </w:r>
      <w:r>
        <w:rPr>
          <w:rFonts w:ascii="仿宋_GB2312" w:hAnsi="仿宋" w:eastAsia="仿宋_GB2312" w:cs="仿宋_GB2312"/>
          <w:kern w:val="0"/>
          <w:sz w:val="30"/>
          <w:szCs w:val="30"/>
          <w:u w:val="single"/>
        </w:rPr>
        <w:t xml:space="preserve"> </w:t>
      </w:r>
      <w:r>
        <w:rPr>
          <w:rFonts w:hint="eastAsia" w:ascii="仿宋_GB2312" w:hAnsi="仿宋" w:eastAsia="仿宋_GB2312" w:cs="仿宋_GB2312"/>
          <w:kern w:val="0"/>
          <w:sz w:val="30"/>
          <w:szCs w:val="30"/>
          <w:u w:val="single"/>
        </w:rPr>
        <w:t>广东环科技术咨询有限公司</w:t>
      </w:r>
      <w:r>
        <w:rPr>
          <w:rFonts w:ascii="仿宋_GB2312" w:hAnsi="仿宋" w:eastAsia="仿宋_GB2312" w:cs="仿宋_GB2312"/>
          <w:kern w:val="0"/>
          <w:sz w:val="30"/>
          <w:szCs w:val="30"/>
          <w:u w:val="single"/>
        </w:rPr>
        <w:t xml:space="preserve"> </w:t>
      </w:r>
      <w:r>
        <w:rPr>
          <w:rFonts w:hint="eastAsia" w:ascii="仿宋_GB2312" w:hAnsi="仿宋" w:eastAsia="仿宋_GB2312" w:cs="仿宋_GB2312"/>
          <w:kern w:val="0"/>
          <w:sz w:val="30"/>
          <w:szCs w:val="30"/>
        </w:rPr>
        <w:t>单位（统一社会信用代码</w:t>
      </w:r>
      <w:r>
        <w:rPr>
          <w:rFonts w:ascii="仿宋_GB2312" w:hAnsi="仿宋" w:eastAsia="仿宋_GB2312" w:cs="仿宋_GB2312"/>
          <w:kern w:val="0"/>
          <w:sz w:val="30"/>
          <w:szCs w:val="30"/>
          <w:u w:val="single"/>
        </w:rPr>
        <w:t xml:space="preserve"> 91440900592116401L </w:t>
      </w:r>
      <w:r>
        <w:rPr>
          <w:rFonts w:hint="eastAsia" w:ascii="仿宋_GB2312" w:hAnsi="仿宋" w:eastAsia="仿宋_GB2312" w:cs="仿宋_GB2312"/>
          <w:kern w:val="0"/>
          <w:sz w:val="30"/>
          <w:szCs w:val="30"/>
        </w:rPr>
        <w:t>）全职工作，本次在环境影响评价信用平台提交的下列第</w:t>
      </w:r>
      <w:r>
        <w:rPr>
          <w:rFonts w:ascii="仿宋_GB2312" w:hAnsi="仿宋" w:eastAsia="仿宋_GB2312" w:cs="仿宋_GB2312"/>
          <w:kern w:val="0"/>
          <w:sz w:val="30"/>
          <w:szCs w:val="30"/>
          <w:u w:val="single"/>
        </w:rPr>
        <w:t xml:space="preserve"> 1 </w:t>
      </w:r>
      <w:r>
        <w:rPr>
          <w:rFonts w:hint="eastAsia" w:ascii="仿宋_GB2312" w:hAnsi="仿宋" w:eastAsia="仿宋_GB2312" w:cs="仿宋_GB2312"/>
          <w:kern w:val="0"/>
          <w:sz w:val="30"/>
          <w:szCs w:val="30"/>
        </w:rPr>
        <w:t>项相关情况信息真实准确、完整有效。</w:t>
      </w:r>
    </w:p>
    <w:p>
      <w:pPr>
        <w:autoSpaceDE w:val="0"/>
        <w:autoSpaceDN w:val="0"/>
        <w:ind w:firstLine="640"/>
        <w:rPr>
          <w:rFonts w:ascii="仿宋" w:hAnsi="仿宋" w:eastAsia="仿宋"/>
          <w:kern w:val="0"/>
          <w:sz w:val="32"/>
          <w:szCs w:val="32"/>
        </w:rPr>
      </w:pPr>
    </w:p>
    <w:p>
      <w:pPr>
        <w:autoSpaceDE w:val="0"/>
        <w:autoSpaceDN w:val="0"/>
        <w:ind w:firstLine="640"/>
        <w:rPr>
          <w:rFonts w:ascii="仿宋" w:hAnsi="仿宋" w:eastAsia="仿宋"/>
          <w:kern w:val="0"/>
          <w:sz w:val="32"/>
          <w:szCs w:val="32"/>
        </w:rPr>
      </w:pPr>
    </w:p>
    <w:p>
      <w:pPr>
        <w:autoSpaceDE w:val="0"/>
        <w:autoSpaceDN w:val="0"/>
        <w:ind w:firstLine="640"/>
        <w:rPr>
          <w:rFonts w:ascii="仿宋" w:hAnsi="仿宋" w:eastAsia="仿宋"/>
          <w:kern w:val="0"/>
          <w:sz w:val="32"/>
          <w:szCs w:val="32"/>
        </w:rPr>
      </w:pPr>
    </w:p>
    <w:p>
      <w:pPr>
        <w:autoSpaceDE w:val="0"/>
        <w:autoSpaceDN w:val="0"/>
        <w:ind w:firstLine="640"/>
        <w:rPr>
          <w:rFonts w:ascii="仿宋" w:hAnsi="仿宋" w:eastAsia="仿宋"/>
          <w:kern w:val="0"/>
          <w:sz w:val="32"/>
          <w:szCs w:val="32"/>
        </w:rPr>
      </w:pPr>
      <w:r>
        <w:rPr>
          <w:rFonts w:eastAsia="方正仿宋_GBK"/>
          <w:kern w:val="0"/>
          <w:sz w:val="32"/>
          <w:szCs w:val="32"/>
        </w:rPr>
        <mc:AlternateContent>
          <mc:Choice Requires="wps">
            <w:drawing>
              <wp:anchor distT="0" distB="0" distL="114300" distR="114300" simplePos="0" relativeHeight="251660288" behindDoc="0" locked="0" layoutInCell="1" allowOverlap="1">
                <wp:simplePos x="0" y="0"/>
                <wp:positionH relativeFrom="column">
                  <wp:posOffset>116205</wp:posOffset>
                </wp:positionH>
                <wp:positionV relativeFrom="paragraph">
                  <wp:posOffset>156845</wp:posOffset>
                </wp:positionV>
                <wp:extent cx="5649595" cy="2903220"/>
                <wp:effectExtent l="0" t="0" r="27305" b="11430"/>
                <wp:wrapSquare wrapText="bothSides"/>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5649595" cy="2903220"/>
                        </a:xfrm>
                        <a:prstGeom prst="rect">
                          <a:avLst/>
                        </a:prstGeom>
                        <a:solidFill>
                          <a:srgbClr val="FFFFFF"/>
                        </a:solidFill>
                        <a:ln w="9525">
                          <a:solidFill>
                            <a:srgbClr val="000000"/>
                          </a:solidFill>
                          <a:miter lim="800000"/>
                        </a:ln>
                        <a:effectLst/>
                      </wps:spPr>
                      <wps:txbx>
                        <w:txbxContent>
                          <w:p>
                            <w:pPr>
                              <w:ind w:firstLine="600"/>
                              <w:jc w:val="left"/>
                              <w:rPr>
                                <w:rFonts w:ascii="仿宋" w:hAnsi="仿宋" w:eastAsia="仿宋"/>
                                <w:sz w:val="30"/>
                                <w:szCs w:val="30"/>
                              </w:rPr>
                            </w:pPr>
                            <w:r>
                              <w:rPr>
                                <w:rFonts w:ascii="仿宋" w:hAnsi="仿宋" w:eastAsia="仿宋" w:cs="仿宋"/>
                                <w:sz w:val="30"/>
                                <w:szCs w:val="30"/>
                              </w:rPr>
                              <w:t>1.</w:t>
                            </w:r>
                            <w:r>
                              <w:rPr>
                                <w:rFonts w:hint="eastAsia" w:ascii="仿宋" w:hAnsi="仿宋" w:eastAsia="仿宋" w:cs="仿宋"/>
                                <w:sz w:val="30"/>
                                <w:szCs w:val="30"/>
                              </w:rPr>
                              <w:t>首次提交基本情况信息</w:t>
                            </w:r>
                          </w:p>
                          <w:p>
                            <w:pPr>
                              <w:spacing w:line="348" w:lineRule="auto"/>
                              <w:ind w:firstLine="600"/>
                              <w:jc w:val="left"/>
                              <w:rPr>
                                <w:rFonts w:ascii="仿宋" w:hAnsi="仿宋" w:eastAsia="仿宋"/>
                                <w:sz w:val="30"/>
                                <w:szCs w:val="30"/>
                              </w:rPr>
                            </w:pPr>
                            <w:r>
                              <w:rPr>
                                <w:rFonts w:ascii="仿宋" w:hAnsi="仿宋" w:eastAsia="仿宋" w:cs="仿宋"/>
                                <w:sz w:val="30"/>
                                <w:szCs w:val="30"/>
                              </w:rPr>
                              <w:t>2.</w:t>
                            </w:r>
                            <w:r>
                              <w:rPr>
                                <w:rFonts w:hint="eastAsia" w:ascii="仿宋" w:hAnsi="仿宋" w:eastAsia="仿宋" w:cs="仿宋"/>
                                <w:sz w:val="30"/>
                                <w:szCs w:val="30"/>
                              </w:rPr>
                              <w:t>从业单位变更的</w:t>
                            </w:r>
                          </w:p>
                          <w:p>
                            <w:pPr>
                              <w:spacing w:line="348" w:lineRule="auto"/>
                              <w:ind w:firstLine="600"/>
                              <w:jc w:val="left"/>
                              <w:rPr>
                                <w:rFonts w:ascii="仿宋" w:hAnsi="仿宋" w:eastAsia="仿宋"/>
                                <w:sz w:val="30"/>
                                <w:szCs w:val="30"/>
                              </w:rPr>
                            </w:pPr>
                            <w:r>
                              <w:rPr>
                                <w:rFonts w:ascii="仿宋" w:hAnsi="仿宋" w:eastAsia="仿宋" w:cs="仿宋"/>
                                <w:sz w:val="30"/>
                                <w:szCs w:val="30"/>
                              </w:rPr>
                              <w:t>3.</w:t>
                            </w:r>
                            <w:r>
                              <w:rPr>
                                <w:rFonts w:hint="eastAsia" w:ascii="仿宋" w:hAnsi="仿宋" w:eastAsia="仿宋" w:cs="仿宋"/>
                                <w:sz w:val="30"/>
                                <w:szCs w:val="30"/>
                              </w:rPr>
                              <w:t>调离从业单位的</w:t>
                            </w:r>
                          </w:p>
                          <w:p>
                            <w:pPr>
                              <w:spacing w:line="348" w:lineRule="auto"/>
                              <w:ind w:firstLine="600"/>
                              <w:jc w:val="left"/>
                              <w:rPr>
                                <w:rFonts w:ascii="仿宋" w:hAnsi="仿宋" w:eastAsia="仿宋"/>
                                <w:sz w:val="30"/>
                                <w:szCs w:val="30"/>
                              </w:rPr>
                            </w:pPr>
                            <w:r>
                              <w:rPr>
                                <w:rFonts w:ascii="仿宋" w:hAnsi="仿宋" w:eastAsia="仿宋" w:cs="仿宋"/>
                                <w:sz w:val="30"/>
                                <w:szCs w:val="30"/>
                              </w:rPr>
                              <w:t>4.</w:t>
                            </w:r>
                            <w:r>
                              <w:rPr>
                                <w:rFonts w:hint="eastAsia" w:ascii="仿宋" w:hAnsi="仿宋" w:eastAsia="仿宋" w:cs="仿宋"/>
                                <w:sz w:val="30"/>
                                <w:szCs w:val="30"/>
                              </w:rPr>
                              <w:t>建立诚信档案后取得环境影响评价工程师职业资格证书的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5</w:t>
                            </w:r>
                            <w:r>
                              <w:rPr>
                                <w:rFonts w:ascii="仿宋" w:hAnsi="仿宋" w:eastAsia="仿宋" w:cs="仿宋"/>
                                <w:sz w:val="30"/>
                                <w:szCs w:val="30"/>
                              </w:rPr>
                              <w:t>.</w:t>
                            </w:r>
                            <w:r>
                              <w:rPr>
                                <w:rFonts w:hint="eastAsia" w:ascii="仿宋" w:hAnsi="仿宋" w:eastAsia="仿宋" w:cs="仿宋"/>
                                <w:sz w:val="30"/>
                                <w:szCs w:val="30"/>
                              </w:rPr>
                              <w:t>被注销后从业单位变更的</w:t>
                            </w:r>
                          </w:p>
                          <w:p>
                            <w:pPr>
                              <w:spacing w:line="348" w:lineRule="auto"/>
                              <w:ind w:firstLine="600"/>
                              <w:jc w:val="left"/>
                              <w:rPr>
                                <w:rFonts w:ascii="仿宋" w:hAnsi="仿宋" w:eastAsia="仿宋" w:cs="仿宋"/>
                                <w:sz w:val="30"/>
                                <w:szCs w:val="30"/>
                              </w:rPr>
                            </w:pPr>
                            <w:r>
                              <w:rPr>
                                <w:rFonts w:hint="eastAsia" w:ascii="仿宋" w:hAnsi="仿宋" w:eastAsia="仿宋" w:cs="仿宋"/>
                                <w:sz w:val="30"/>
                                <w:szCs w:val="30"/>
                              </w:rPr>
                              <w:t>6.被注销后调回原从业单位的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7</w:t>
                            </w:r>
                            <w:r>
                              <w:rPr>
                                <w:rFonts w:ascii="仿宋" w:hAnsi="仿宋" w:eastAsia="仿宋" w:cs="仿宋"/>
                                <w:sz w:val="30"/>
                                <w:szCs w:val="30"/>
                              </w:rPr>
                              <w:t>.</w:t>
                            </w:r>
                            <w:r>
                              <w:rPr>
                                <w:rFonts w:hint="eastAsia" w:ascii="仿宋" w:hAnsi="仿宋" w:eastAsia="仿宋" w:cs="仿宋"/>
                                <w:sz w:val="30"/>
                                <w:szCs w:val="30"/>
                              </w:rPr>
                              <w:t>编制单位终止的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8.补正基本情况信息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5pt;margin-top:12.35pt;height:228.6pt;width:444.85pt;mso-wrap-distance-bottom:0pt;mso-wrap-distance-left:9pt;mso-wrap-distance-right:9pt;mso-wrap-distance-top:0pt;z-index:251660288;mso-width-relative:page;mso-height-relative:page;" fillcolor="#FFFFFF" filled="t" stroked="t" coordsize="21600,21600" o:gfxdata="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C40O2AAAAAkBAAAPAAAAAAAA&#10;AAEAIAAAACIAAABkcnMvZG93bnJldi54bWxQSwECFAAUAAAACACHTuJAlcD44EsCAACYBAAADgAA&#10;AAAAAAABACAAAAAnAQAAZHJzL2Uyb0RvYy54bWxQSwUGAAAAAAYABgBZAQAA5AUAAAAA&#10;">
                <v:fill on="t" focussize="0,0"/>
                <v:stroke color="#000000" miterlimit="8" joinstyle="miter"/>
                <v:imagedata o:title=""/>
                <o:lock v:ext="edit" aspectratio="f"/>
                <v:textbox>
                  <w:txbxContent>
                    <w:p>
                      <w:pPr>
                        <w:ind w:firstLine="600"/>
                        <w:jc w:val="left"/>
                        <w:rPr>
                          <w:rFonts w:ascii="仿宋" w:hAnsi="仿宋" w:eastAsia="仿宋"/>
                          <w:sz w:val="30"/>
                          <w:szCs w:val="30"/>
                        </w:rPr>
                      </w:pPr>
                      <w:r>
                        <w:rPr>
                          <w:rFonts w:ascii="仿宋" w:hAnsi="仿宋" w:eastAsia="仿宋" w:cs="仿宋"/>
                          <w:sz w:val="30"/>
                          <w:szCs w:val="30"/>
                        </w:rPr>
                        <w:t>1.</w:t>
                      </w:r>
                      <w:r>
                        <w:rPr>
                          <w:rFonts w:hint="eastAsia" w:ascii="仿宋" w:hAnsi="仿宋" w:eastAsia="仿宋" w:cs="仿宋"/>
                          <w:sz w:val="30"/>
                          <w:szCs w:val="30"/>
                        </w:rPr>
                        <w:t>首次提交基本情况信息</w:t>
                      </w:r>
                    </w:p>
                    <w:p>
                      <w:pPr>
                        <w:spacing w:line="348" w:lineRule="auto"/>
                        <w:ind w:firstLine="600"/>
                        <w:jc w:val="left"/>
                        <w:rPr>
                          <w:rFonts w:ascii="仿宋" w:hAnsi="仿宋" w:eastAsia="仿宋"/>
                          <w:sz w:val="30"/>
                          <w:szCs w:val="30"/>
                        </w:rPr>
                      </w:pPr>
                      <w:r>
                        <w:rPr>
                          <w:rFonts w:ascii="仿宋" w:hAnsi="仿宋" w:eastAsia="仿宋" w:cs="仿宋"/>
                          <w:sz w:val="30"/>
                          <w:szCs w:val="30"/>
                        </w:rPr>
                        <w:t>2.</w:t>
                      </w:r>
                      <w:r>
                        <w:rPr>
                          <w:rFonts w:hint="eastAsia" w:ascii="仿宋" w:hAnsi="仿宋" w:eastAsia="仿宋" w:cs="仿宋"/>
                          <w:sz w:val="30"/>
                          <w:szCs w:val="30"/>
                        </w:rPr>
                        <w:t>从业单位变更的</w:t>
                      </w:r>
                    </w:p>
                    <w:p>
                      <w:pPr>
                        <w:spacing w:line="348" w:lineRule="auto"/>
                        <w:ind w:firstLine="600"/>
                        <w:jc w:val="left"/>
                        <w:rPr>
                          <w:rFonts w:ascii="仿宋" w:hAnsi="仿宋" w:eastAsia="仿宋"/>
                          <w:sz w:val="30"/>
                          <w:szCs w:val="30"/>
                        </w:rPr>
                      </w:pPr>
                      <w:r>
                        <w:rPr>
                          <w:rFonts w:ascii="仿宋" w:hAnsi="仿宋" w:eastAsia="仿宋" w:cs="仿宋"/>
                          <w:sz w:val="30"/>
                          <w:szCs w:val="30"/>
                        </w:rPr>
                        <w:t>3.</w:t>
                      </w:r>
                      <w:r>
                        <w:rPr>
                          <w:rFonts w:hint="eastAsia" w:ascii="仿宋" w:hAnsi="仿宋" w:eastAsia="仿宋" w:cs="仿宋"/>
                          <w:sz w:val="30"/>
                          <w:szCs w:val="30"/>
                        </w:rPr>
                        <w:t>调离从业单位的</w:t>
                      </w:r>
                    </w:p>
                    <w:p>
                      <w:pPr>
                        <w:spacing w:line="348" w:lineRule="auto"/>
                        <w:ind w:firstLine="600"/>
                        <w:jc w:val="left"/>
                        <w:rPr>
                          <w:rFonts w:ascii="仿宋" w:hAnsi="仿宋" w:eastAsia="仿宋"/>
                          <w:sz w:val="30"/>
                          <w:szCs w:val="30"/>
                        </w:rPr>
                      </w:pPr>
                      <w:r>
                        <w:rPr>
                          <w:rFonts w:ascii="仿宋" w:hAnsi="仿宋" w:eastAsia="仿宋" w:cs="仿宋"/>
                          <w:sz w:val="30"/>
                          <w:szCs w:val="30"/>
                        </w:rPr>
                        <w:t>4.</w:t>
                      </w:r>
                      <w:r>
                        <w:rPr>
                          <w:rFonts w:hint="eastAsia" w:ascii="仿宋" w:hAnsi="仿宋" w:eastAsia="仿宋" w:cs="仿宋"/>
                          <w:sz w:val="30"/>
                          <w:szCs w:val="30"/>
                        </w:rPr>
                        <w:t>建立诚信档案后取得环境影响评价工程师职业资格证书的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5</w:t>
                      </w:r>
                      <w:r>
                        <w:rPr>
                          <w:rFonts w:ascii="仿宋" w:hAnsi="仿宋" w:eastAsia="仿宋" w:cs="仿宋"/>
                          <w:sz w:val="30"/>
                          <w:szCs w:val="30"/>
                        </w:rPr>
                        <w:t>.</w:t>
                      </w:r>
                      <w:r>
                        <w:rPr>
                          <w:rFonts w:hint="eastAsia" w:ascii="仿宋" w:hAnsi="仿宋" w:eastAsia="仿宋" w:cs="仿宋"/>
                          <w:sz w:val="30"/>
                          <w:szCs w:val="30"/>
                        </w:rPr>
                        <w:t>被注销后从业单位变更的</w:t>
                      </w:r>
                    </w:p>
                    <w:p>
                      <w:pPr>
                        <w:spacing w:line="348" w:lineRule="auto"/>
                        <w:ind w:firstLine="600"/>
                        <w:jc w:val="left"/>
                        <w:rPr>
                          <w:rFonts w:ascii="仿宋" w:hAnsi="仿宋" w:eastAsia="仿宋" w:cs="仿宋"/>
                          <w:sz w:val="30"/>
                          <w:szCs w:val="30"/>
                        </w:rPr>
                      </w:pPr>
                      <w:r>
                        <w:rPr>
                          <w:rFonts w:hint="eastAsia" w:ascii="仿宋" w:hAnsi="仿宋" w:eastAsia="仿宋" w:cs="仿宋"/>
                          <w:sz w:val="30"/>
                          <w:szCs w:val="30"/>
                        </w:rPr>
                        <w:t>6.被注销后调回原从业单位的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7</w:t>
                      </w:r>
                      <w:r>
                        <w:rPr>
                          <w:rFonts w:ascii="仿宋" w:hAnsi="仿宋" w:eastAsia="仿宋" w:cs="仿宋"/>
                          <w:sz w:val="30"/>
                          <w:szCs w:val="30"/>
                        </w:rPr>
                        <w:t>.</w:t>
                      </w:r>
                      <w:r>
                        <w:rPr>
                          <w:rFonts w:hint="eastAsia" w:ascii="仿宋" w:hAnsi="仿宋" w:eastAsia="仿宋" w:cs="仿宋"/>
                          <w:sz w:val="30"/>
                          <w:szCs w:val="30"/>
                        </w:rPr>
                        <w:t>编制单位终止的</w:t>
                      </w:r>
                    </w:p>
                    <w:p>
                      <w:pPr>
                        <w:spacing w:line="348" w:lineRule="auto"/>
                        <w:ind w:firstLine="600"/>
                        <w:jc w:val="left"/>
                        <w:rPr>
                          <w:rFonts w:ascii="仿宋" w:hAnsi="仿宋" w:eastAsia="仿宋"/>
                          <w:sz w:val="30"/>
                          <w:szCs w:val="30"/>
                        </w:rPr>
                      </w:pPr>
                      <w:r>
                        <w:rPr>
                          <w:rFonts w:hint="eastAsia" w:ascii="仿宋" w:hAnsi="仿宋" w:eastAsia="仿宋" w:cs="仿宋"/>
                          <w:sz w:val="30"/>
                          <w:szCs w:val="30"/>
                        </w:rPr>
                        <w:t>8.补正基本情况信息</w:t>
                      </w:r>
                    </w:p>
                  </w:txbxContent>
                </v:textbox>
                <w10:wrap type="square"/>
              </v:shape>
            </w:pict>
          </mc:Fallback>
        </mc:AlternateContent>
      </w:r>
    </w:p>
    <w:p>
      <w:pPr>
        <w:autoSpaceDE w:val="0"/>
        <w:autoSpaceDN w:val="0"/>
        <w:ind w:firstLine="600"/>
        <w:rPr>
          <w:rFonts w:ascii="仿宋" w:hAnsi="仿宋" w:eastAsia="仿宋" w:cs="仿宋"/>
          <w:kern w:val="0"/>
          <w:sz w:val="30"/>
          <w:szCs w:val="30"/>
        </w:rPr>
      </w:pPr>
      <w:r>
        <w:rPr>
          <w:rFonts w:ascii="仿宋" w:hAnsi="仿宋" w:eastAsia="仿宋" w:cs="仿宋"/>
          <w:kern w:val="0"/>
          <w:sz w:val="30"/>
          <w:szCs w:val="30"/>
        </w:rPr>
        <w:t xml:space="preserve">                                   </w:t>
      </w:r>
      <w:r>
        <w:rPr>
          <w:rFonts w:hint="eastAsia" w:ascii="仿宋" w:hAnsi="仿宋" w:eastAsia="仿宋" w:cs="仿宋"/>
          <w:kern w:val="0"/>
          <w:sz w:val="30"/>
          <w:szCs w:val="30"/>
        </w:rPr>
        <w:t>承诺人</w:t>
      </w:r>
      <w:r>
        <w:rPr>
          <w:rFonts w:ascii="仿宋" w:hAnsi="仿宋" w:eastAsia="仿宋" w:cs="仿宋"/>
          <w:kern w:val="0"/>
          <w:sz w:val="30"/>
          <w:szCs w:val="30"/>
        </w:rPr>
        <w:t>(</w:t>
      </w:r>
      <w:r>
        <w:rPr>
          <w:rFonts w:hint="eastAsia" w:ascii="仿宋" w:hAnsi="仿宋" w:eastAsia="仿宋" w:cs="仿宋"/>
          <w:kern w:val="0"/>
          <w:sz w:val="30"/>
          <w:szCs w:val="30"/>
        </w:rPr>
        <w:t>签字</w:t>
      </w:r>
      <w:r>
        <w:rPr>
          <w:rFonts w:ascii="仿宋" w:hAnsi="仿宋" w:eastAsia="仿宋" w:cs="仿宋"/>
          <w:kern w:val="0"/>
          <w:sz w:val="30"/>
          <w:szCs w:val="30"/>
        </w:rPr>
        <w:t>)</w:t>
      </w:r>
      <w:r>
        <w:rPr>
          <w:rFonts w:hint="eastAsia" w:ascii="仿宋" w:hAnsi="仿宋" w:eastAsia="仿宋" w:cs="仿宋"/>
          <w:kern w:val="0"/>
          <w:sz w:val="30"/>
          <w:szCs w:val="30"/>
        </w:rPr>
        <w:t>：</w:t>
      </w:r>
      <w:r>
        <w:rPr>
          <w:rFonts w:ascii="仿宋" w:hAnsi="仿宋" w:eastAsia="仿宋" w:cs="仿宋"/>
          <w:kern w:val="0"/>
          <w:sz w:val="30"/>
          <w:szCs w:val="30"/>
        </w:rPr>
        <w:t xml:space="preserve"> </w:t>
      </w:r>
    </w:p>
    <w:p>
      <w:pPr>
        <w:pStyle w:val="56"/>
      </w:pPr>
      <w:r>
        <w:rPr>
          <w:rFonts w:ascii="仿宋" w:hAnsi="仿宋" w:eastAsia="仿宋" w:cs="仿宋"/>
          <w:kern w:val="0"/>
          <w:sz w:val="30"/>
          <w:szCs w:val="30"/>
        </w:rPr>
        <w:t xml:space="preserve">                                     </w:t>
      </w:r>
      <w:r>
        <w:rPr>
          <w:rFonts w:hint="eastAsia" w:ascii="仿宋" w:hAnsi="仿宋" w:eastAsia="仿宋" w:cs="仿宋"/>
          <w:kern w:val="0"/>
          <w:sz w:val="30"/>
          <w:szCs w:val="30"/>
        </w:rPr>
        <w:t>年</w:t>
      </w:r>
      <w:r>
        <w:rPr>
          <w:rFonts w:ascii="仿宋" w:hAnsi="仿宋" w:eastAsia="仿宋" w:cs="仿宋"/>
          <w:kern w:val="0"/>
          <w:sz w:val="30"/>
          <w:szCs w:val="30"/>
        </w:rPr>
        <w:t xml:space="preserve">     </w:t>
      </w:r>
      <w:r>
        <w:rPr>
          <w:rFonts w:hint="eastAsia" w:ascii="仿宋" w:hAnsi="仿宋" w:eastAsia="仿宋" w:cs="仿宋"/>
          <w:kern w:val="0"/>
          <w:sz w:val="30"/>
          <w:szCs w:val="30"/>
        </w:rPr>
        <w:t>月</w:t>
      </w:r>
      <w:r>
        <w:rPr>
          <w:rFonts w:ascii="仿宋" w:hAnsi="仿宋" w:eastAsia="仿宋" w:cs="仿宋"/>
          <w:kern w:val="0"/>
          <w:sz w:val="30"/>
          <w:szCs w:val="30"/>
        </w:rPr>
        <w:t xml:space="preserve">    </w:t>
      </w:r>
    </w:p>
    <w:p>
      <w:pPr>
        <w:ind w:firstLine="480"/>
      </w:pPr>
    </w:p>
    <w:p>
      <w:pPr>
        <w:ind w:firstLine="480"/>
        <w:sectPr>
          <w:pgSz w:w="11906" w:h="16838"/>
          <w:pgMar w:top="1440" w:right="1800" w:bottom="1440" w:left="1800" w:header="851" w:footer="992" w:gutter="0"/>
          <w:cols w:space="720" w:num="1"/>
          <w:docGrid w:type="lines" w:linePitch="326" w:charSpace="0"/>
        </w:sectPr>
      </w:pPr>
    </w:p>
    <w:p>
      <w:pPr>
        <w:pStyle w:val="56"/>
      </w:pPr>
      <w:r>
        <w:drawing>
          <wp:inline distT="0" distB="0" distL="0" distR="0">
            <wp:extent cx="5205730" cy="37268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email"/>
                    <a:srcRect/>
                    <a:stretch>
                      <a:fillRect/>
                    </a:stretch>
                  </pic:blipFill>
                  <pic:spPr>
                    <a:xfrm>
                      <a:off x="0" y="0"/>
                      <a:ext cx="5229821" cy="3744010"/>
                    </a:xfrm>
                    <a:prstGeom prst="rect">
                      <a:avLst/>
                    </a:prstGeom>
                    <a:noFill/>
                    <a:ln>
                      <a:noFill/>
                    </a:ln>
                    <a:effectLst/>
                  </pic:spPr>
                </pic:pic>
              </a:graphicData>
            </a:graphic>
          </wp:inline>
        </w:drawing>
      </w:r>
    </w:p>
    <w:p>
      <w:pPr>
        <w:pStyle w:val="56"/>
      </w:pPr>
      <w:r>
        <w:drawing>
          <wp:inline distT="0" distB="0" distL="0" distR="0">
            <wp:extent cx="5080635" cy="3593465"/>
            <wp:effectExtent l="0" t="0" r="571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5" cstate="email"/>
                    <a:srcRect/>
                    <a:stretch>
                      <a:fillRect/>
                    </a:stretch>
                  </pic:blipFill>
                  <pic:spPr>
                    <a:xfrm>
                      <a:off x="0" y="0"/>
                      <a:ext cx="5110262" cy="3614688"/>
                    </a:xfrm>
                    <a:prstGeom prst="rect">
                      <a:avLst/>
                    </a:prstGeom>
                    <a:noFill/>
                    <a:ln>
                      <a:noFill/>
                    </a:ln>
                  </pic:spPr>
                </pic:pic>
              </a:graphicData>
            </a:graphic>
          </wp:inline>
        </w:drawing>
      </w:r>
    </w:p>
    <w:p>
      <w:pPr>
        <w:pStyle w:val="56"/>
      </w:pPr>
    </w:p>
    <w:p>
      <w:pPr>
        <w:ind w:firstLine="480"/>
      </w:pPr>
    </w:p>
    <w:p>
      <w:pPr>
        <w:ind w:firstLine="480"/>
        <w:sectPr>
          <w:pgSz w:w="11906" w:h="16838"/>
          <w:pgMar w:top="1440" w:right="1800" w:bottom="1440" w:left="1800" w:header="851" w:footer="992" w:gutter="0"/>
          <w:cols w:space="720" w:num="1"/>
          <w:docGrid w:type="lines" w:linePitch="326" w:charSpace="0"/>
        </w:sectPr>
      </w:pPr>
    </w:p>
    <w:p>
      <w:pPr>
        <w:pStyle w:val="56"/>
      </w:pPr>
      <w:r>
        <w:drawing>
          <wp:inline distT="0" distB="0" distL="0" distR="0">
            <wp:extent cx="5274310" cy="4526280"/>
            <wp:effectExtent l="0" t="0" r="2540" b="7620"/>
            <wp:docPr id="18" name="图片 18" descr="C:\Users\ADMINI~1\AppData\Local\Temp\WeChat Files\6f97426e49d300dce8330f579d62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WeChat Files\6f97426e49d300dce8330f579d62a01.png"/>
                    <pic:cNvPicPr>
                      <a:picLocks noChangeAspect="1" noChangeArrowheads="1"/>
                    </pic:cNvPicPr>
                  </pic:nvPicPr>
                  <pic:blipFill>
                    <a:blip r:embed="rId16" cstate="email"/>
                    <a:srcRect/>
                    <a:stretch>
                      <a:fillRect/>
                    </a:stretch>
                  </pic:blipFill>
                  <pic:spPr>
                    <a:xfrm>
                      <a:off x="0" y="0"/>
                      <a:ext cx="5274310" cy="4526371"/>
                    </a:xfrm>
                    <a:prstGeom prst="rect">
                      <a:avLst/>
                    </a:prstGeom>
                    <a:noFill/>
                    <a:ln>
                      <a:noFill/>
                    </a:ln>
                  </pic:spPr>
                </pic:pic>
              </a:graphicData>
            </a:graphic>
          </wp:inline>
        </w:drawing>
      </w:r>
    </w:p>
    <w:p>
      <w:pPr>
        <w:pStyle w:val="56"/>
      </w:pPr>
      <w:r>
        <w:drawing>
          <wp:inline distT="0" distB="0" distL="0" distR="0">
            <wp:extent cx="5274310" cy="4512310"/>
            <wp:effectExtent l="0" t="0" r="2540" b="2540"/>
            <wp:docPr id="16" name="图片 16" descr="E:\微信文件\WeChat Files\wxid_2b3cst8mfxqv22\FileStorage\Temp\1671267968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微信文件\WeChat Files\wxid_2b3cst8mfxqv22\FileStorage\Temp\1671267968275.png"/>
                    <pic:cNvPicPr>
                      <a:picLocks noChangeAspect="1" noChangeArrowheads="1"/>
                    </pic:cNvPicPr>
                  </pic:nvPicPr>
                  <pic:blipFill>
                    <a:blip r:embed="rId17" cstate="email"/>
                    <a:srcRect/>
                    <a:stretch>
                      <a:fillRect/>
                    </a:stretch>
                  </pic:blipFill>
                  <pic:spPr>
                    <a:xfrm>
                      <a:off x="0" y="0"/>
                      <a:ext cx="5274310" cy="4512455"/>
                    </a:xfrm>
                    <a:prstGeom prst="rect">
                      <a:avLst/>
                    </a:prstGeom>
                    <a:noFill/>
                    <a:ln>
                      <a:noFill/>
                    </a:ln>
                  </pic:spPr>
                </pic:pic>
              </a:graphicData>
            </a:graphic>
          </wp:inline>
        </w:drawing>
      </w:r>
    </w:p>
    <w:p>
      <w:pPr>
        <w:ind w:firstLine="480"/>
        <w:sectPr>
          <w:pgSz w:w="11906" w:h="16838"/>
          <w:pgMar w:top="1440" w:right="1800" w:bottom="1440" w:left="1800" w:header="851" w:footer="992" w:gutter="0"/>
          <w:cols w:space="720" w:num="1"/>
          <w:docGrid w:type="lines" w:linePitch="326" w:charSpace="0"/>
        </w:sectPr>
      </w:pPr>
    </w:p>
    <w:p>
      <w:pPr>
        <w:pStyle w:val="56"/>
      </w:pPr>
      <w:r>
        <w:drawing>
          <wp:inline distT="0" distB="0" distL="0" distR="0">
            <wp:extent cx="5239385" cy="7154545"/>
            <wp:effectExtent l="0" t="0" r="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248650" cy="7167191"/>
                    </a:xfrm>
                    <a:prstGeom prst="rect">
                      <a:avLst/>
                    </a:prstGeom>
                  </pic:spPr>
                </pic:pic>
              </a:graphicData>
            </a:graphic>
          </wp:inline>
        </w:drawing>
      </w:r>
    </w:p>
    <w:p>
      <w:pPr>
        <w:ind w:firstLine="480"/>
      </w:pPr>
    </w:p>
    <w:p>
      <w:pPr>
        <w:ind w:firstLine="480"/>
        <w:sectPr>
          <w:pgSz w:w="11906" w:h="16838"/>
          <w:pgMar w:top="1440" w:right="1800" w:bottom="1440" w:left="1800" w:header="851" w:footer="992" w:gutter="0"/>
          <w:cols w:space="720" w:num="1"/>
          <w:docGrid w:type="lines" w:linePitch="326" w:charSpace="0"/>
        </w:sectPr>
      </w:pPr>
    </w:p>
    <w:sdt>
      <w:sdtPr>
        <w:rPr>
          <w:lang w:val="zh-CN"/>
        </w:rPr>
        <w:id w:val="-1866898771"/>
        <w:docPartObj>
          <w:docPartGallery w:val="Table of Contents"/>
          <w:docPartUnique/>
        </w:docPartObj>
      </w:sdtPr>
      <w:sdtEndPr>
        <w:rPr>
          <w:b/>
          <w:bCs/>
          <w:lang w:val="zh-CN"/>
        </w:rPr>
      </w:sdtEndPr>
      <w:sdtContent>
        <w:p>
          <w:pPr>
            <w:ind w:firstLine="0" w:firstLineChars="0"/>
            <w:jc w:val="center"/>
          </w:pPr>
          <w:r>
            <w:rPr>
              <w:b/>
              <w:sz w:val="32"/>
              <w:lang w:val="zh-CN"/>
            </w:rPr>
            <w:t>目录</w:t>
          </w:r>
          <w:r>
            <w:rPr>
              <w:lang w:val="zh-CN"/>
            </w:rPr>
            <w:fldChar w:fldCharType="begin"/>
          </w:r>
          <w:r>
            <w:rPr>
              <w:lang w:val="zh-CN"/>
            </w:rPr>
            <w:instrText xml:space="preserve"> TOC \o "1-3" \h \z \u </w:instrText>
          </w:r>
          <w:r>
            <w:rPr>
              <w:lang w:val="zh-CN"/>
            </w:rPr>
            <w:fldChar w:fldCharType="separate"/>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"_Toc122338475" </w:instrText>
          </w:r>
          <w:r>
            <w:fldChar w:fldCharType="separate"/>
          </w:r>
          <w:r>
            <w:rPr>
              <w:rStyle w:val="42"/>
            </w:rPr>
            <w:t>建设项目环境影响报告表</w:t>
          </w:r>
          <w:r>
            <w:tab/>
          </w:r>
          <w:r>
            <w:fldChar w:fldCharType="begin"/>
          </w:r>
          <w:r>
            <w:instrText xml:space="preserve"> PAGEREF _Toc122338475 \h </w:instrText>
          </w:r>
          <w:r>
            <w:fldChar w:fldCharType="separate"/>
          </w:r>
          <w:r>
            <w:t>1</w:t>
          </w:r>
          <w:r>
            <w:fldChar w:fldCharType="end"/>
          </w:r>
          <w:r>
            <w:fldChar w:fldCharType="end"/>
          </w:r>
        </w:p>
        <w:p>
          <w:pPr>
            <w:pStyle w:val="26"/>
            <w:tabs>
              <w:tab w:val="left" w:pos="420"/>
            </w:tabs>
            <w:rPr>
              <w:rFonts w:asciiTheme="minorHAnsi" w:hAnsiTheme="minorHAnsi" w:eastAsiaTheme="minorEastAsia" w:cstheme="minorBidi"/>
              <w:b w:val="0"/>
              <w:bCs w:val="0"/>
              <w:caps w:val="0"/>
              <w:sz w:val="21"/>
              <w:szCs w:val="22"/>
            </w:rPr>
          </w:pPr>
          <w:r>
            <w:fldChar w:fldCharType="begin"/>
          </w:r>
          <w:r>
            <w:instrText xml:space="preserve"> HYPERLINK \l "_Toc122338476" </w:instrText>
          </w:r>
          <w:r>
            <w:fldChar w:fldCharType="separate"/>
          </w:r>
          <w:r>
            <w:rPr>
              <w:rStyle w:val="42"/>
            </w:rPr>
            <w:t>1</w:t>
          </w:r>
          <w:r>
            <w:rPr>
              <w:rFonts w:asciiTheme="minorHAnsi" w:hAnsiTheme="minorHAnsi" w:eastAsiaTheme="minorEastAsia" w:cstheme="minorBidi"/>
              <w:b w:val="0"/>
              <w:bCs w:val="0"/>
              <w:caps w:val="0"/>
              <w:sz w:val="21"/>
              <w:szCs w:val="22"/>
            </w:rPr>
            <w:tab/>
          </w:r>
          <w:r>
            <w:rPr>
              <w:rStyle w:val="42"/>
            </w:rPr>
            <w:t>建设项目基本情况</w:t>
          </w:r>
          <w:r>
            <w:tab/>
          </w:r>
          <w:r>
            <w:fldChar w:fldCharType="begin"/>
          </w:r>
          <w:r>
            <w:instrText xml:space="preserve"> PAGEREF _Toc122338476 \h </w:instrText>
          </w:r>
          <w:r>
            <w:fldChar w:fldCharType="separate"/>
          </w:r>
          <w:r>
            <w:t>1</w:t>
          </w:r>
          <w:r>
            <w:fldChar w:fldCharType="end"/>
          </w:r>
          <w:r>
            <w:fldChar w:fldCharType="end"/>
          </w:r>
        </w:p>
        <w:p>
          <w:pPr>
            <w:pStyle w:val="26"/>
            <w:tabs>
              <w:tab w:val="left" w:pos="420"/>
            </w:tabs>
            <w:rPr>
              <w:rFonts w:asciiTheme="minorHAnsi" w:hAnsiTheme="minorHAnsi" w:eastAsiaTheme="minorEastAsia" w:cstheme="minorBidi"/>
              <w:b w:val="0"/>
              <w:bCs w:val="0"/>
              <w:caps w:val="0"/>
              <w:sz w:val="21"/>
              <w:szCs w:val="22"/>
            </w:rPr>
          </w:pPr>
          <w:r>
            <w:fldChar w:fldCharType="begin"/>
          </w:r>
          <w:r>
            <w:instrText xml:space="preserve"> HYPERLINK \l "_Toc122338489" </w:instrText>
          </w:r>
          <w:r>
            <w:fldChar w:fldCharType="separate"/>
          </w:r>
          <w:r>
            <w:rPr>
              <w:rStyle w:val="42"/>
            </w:rPr>
            <w:t>2</w:t>
          </w:r>
          <w:r>
            <w:rPr>
              <w:rFonts w:asciiTheme="minorHAnsi" w:hAnsiTheme="minorHAnsi" w:eastAsiaTheme="minorEastAsia" w:cstheme="minorBidi"/>
              <w:b w:val="0"/>
              <w:bCs w:val="0"/>
              <w:caps w:val="0"/>
              <w:sz w:val="21"/>
              <w:szCs w:val="22"/>
            </w:rPr>
            <w:tab/>
          </w:r>
          <w:r>
            <w:rPr>
              <w:rStyle w:val="42"/>
            </w:rPr>
            <w:t>建设项目工程分析</w:t>
          </w:r>
          <w:r>
            <w:tab/>
          </w:r>
          <w:r>
            <w:fldChar w:fldCharType="begin"/>
          </w:r>
          <w:r>
            <w:instrText xml:space="preserve"> PAGEREF _Toc122338489 \h </w:instrText>
          </w:r>
          <w:r>
            <w:fldChar w:fldCharType="separate"/>
          </w:r>
          <w:r>
            <w:t>18</w:t>
          </w:r>
          <w:r>
            <w:fldChar w:fldCharType="end"/>
          </w:r>
          <w:r>
            <w:fldChar w:fldCharType="end"/>
          </w:r>
        </w:p>
        <w:p>
          <w:pPr>
            <w:pStyle w:val="26"/>
            <w:tabs>
              <w:tab w:val="left" w:pos="420"/>
            </w:tabs>
            <w:rPr>
              <w:rFonts w:asciiTheme="minorHAnsi" w:hAnsiTheme="minorHAnsi" w:eastAsiaTheme="minorEastAsia" w:cstheme="minorBidi"/>
              <w:b w:val="0"/>
              <w:bCs w:val="0"/>
              <w:caps w:val="0"/>
              <w:sz w:val="21"/>
              <w:szCs w:val="22"/>
            </w:rPr>
          </w:pPr>
          <w:r>
            <w:fldChar w:fldCharType="begin"/>
          </w:r>
          <w:r>
            <w:instrText xml:space="preserve"> HYPERLINK \l "_Toc122338501" </w:instrText>
          </w:r>
          <w:r>
            <w:fldChar w:fldCharType="separate"/>
          </w:r>
          <w:r>
            <w:rPr>
              <w:rStyle w:val="42"/>
            </w:rPr>
            <w:t>3</w:t>
          </w:r>
          <w:r>
            <w:rPr>
              <w:rFonts w:asciiTheme="minorHAnsi" w:hAnsiTheme="minorHAnsi" w:eastAsiaTheme="minorEastAsia" w:cstheme="minorBidi"/>
              <w:b w:val="0"/>
              <w:bCs w:val="0"/>
              <w:caps w:val="0"/>
              <w:sz w:val="21"/>
              <w:szCs w:val="22"/>
            </w:rPr>
            <w:tab/>
          </w:r>
          <w:r>
            <w:rPr>
              <w:rStyle w:val="42"/>
            </w:rPr>
            <w:t>区域环境质量现状、环境保护目标及评价标准</w:t>
          </w:r>
          <w:r>
            <w:tab/>
          </w:r>
          <w:r>
            <w:fldChar w:fldCharType="begin"/>
          </w:r>
          <w:r>
            <w:instrText xml:space="preserve"> PAGEREF _Toc122338501 \h </w:instrText>
          </w:r>
          <w:r>
            <w:fldChar w:fldCharType="separate"/>
          </w:r>
          <w:r>
            <w:t>38</w:t>
          </w:r>
          <w:r>
            <w:fldChar w:fldCharType="end"/>
          </w:r>
          <w:r>
            <w:fldChar w:fldCharType="end"/>
          </w:r>
        </w:p>
        <w:p>
          <w:pPr>
            <w:pStyle w:val="26"/>
            <w:tabs>
              <w:tab w:val="left" w:pos="420"/>
            </w:tabs>
            <w:rPr>
              <w:rFonts w:asciiTheme="minorHAnsi" w:hAnsiTheme="minorHAnsi" w:eastAsiaTheme="minorEastAsia" w:cstheme="minorBidi"/>
              <w:b w:val="0"/>
              <w:bCs w:val="0"/>
              <w:caps w:val="0"/>
              <w:sz w:val="21"/>
              <w:szCs w:val="22"/>
            </w:rPr>
          </w:pPr>
          <w:r>
            <w:fldChar w:fldCharType="begin"/>
          </w:r>
          <w:r>
            <w:instrText xml:space="preserve"> HYPERLINK \l "_Toc122338514" </w:instrText>
          </w:r>
          <w:r>
            <w:fldChar w:fldCharType="separate"/>
          </w:r>
          <w:r>
            <w:rPr>
              <w:rStyle w:val="42"/>
            </w:rPr>
            <w:t>4</w:t>
          </w:r>
          <w:r>
            <w:rPr>
              <w:rFonts w:asciiTheme="minorHAnsi" w:hAnsiTheme="minorHAnsi" w:eastAsiaTheme="minorEastAsia" w:cstheme="minorBidi"/>
              <w:b w:val="0"/>
              <w:bCs w:val="0"/>
              <w:caps w:val="0"/>
              <w:sz w:val="21"/>
              <w:szCs w:val="22"/>
            </w:rPr>
            <w:tab/>
          </w:r>
          <w:r>
            <w:rPr>
              <w:rStyle w:val="42"/>
            </w:rPr>
            <w:t>主要环境影响和保护措施</w:t>
          </w:r>
          <w:r>
            <w:tab/>
          </w:r>
          <w:r>
            <w:fldChar w:fldCharType="begin"/>
          </w:r>
          <w:r>
            <w:instrText xml:space="preserve"> PAGEREF _Toc122338514 \h </w:instrText>
          </w:r>
          <w:r>
            <w:fldChar w:fldCharType="separate"/>
          </w:r>
          <w:r>
            <w:t>49</w:t>
          </w:r>
          <w:r>
            <w:fldChar w:fldCharType="end"/>
          </w:r>
          <w:r>
            <w:fldChar w:fldCharType="end"/>
          </w:r>
        </w:p>
        <w:p>
          <w:pPr>
            <w:pStyle w:val="26"/>
            <w:tabs>
              <w:tab w:val="left" w:pos="420"/>
            </w:tabs>
            <w:rPr>
              <w:rFonts w:asciiTheme="minorHAnsi" w:hAnsiTheme="minorHAnsi" w:eastAsiaTheme="minorEastAsia" w:cstheme="minorBidi"/>
              <w:b w:val="0"/>
              <w:bCs w:val="0"/>
              <w:caps w:val="0"/>
              <w:sz w:val="21"/>
              <w:szCs w:val="22"/>
            </w:rPr>
          </w:pPr>
          <w:r>
            <w:fldChar w:fldCharType="begin"/>
          </w:r>
          <w:r>
            <w:instrText xml:space="preserve"> HYPERLINK \l "_Toc122338525" </w:instrText>
          </w:r>
          <w:r>
            <w:fldChar w:fldCharType="separate"/>
          </w:r>
          <w:r>
            <w:rPr>
              <w:rStyle w:val="42"/>
            </w:rPr>
            <w:t>5</w:t>
          </w:r>
          <w:r>
            <w:rPr>
              <w:rFonts w:asciiTheme="minorHAnsi" w:hAnsiTheme="minorHAnsi" w:eastAsiaTheme="minorEastAsia" w:cstheme="minorBidi"/>
              <w:b w:val="0"/>
              <w:bCs w:val="0"/>
              <w:caps w:val="0"/>
              <w:sz w:val="21"/>
              <w:szCs w:val="22"/>
            </w:rPr>
            <w:tab/>
          </w:r>
          <w:r>
            <w:rPr>
              <w:rStyle w:val="42"/>
            </w:rPr>
            <w:t>环境保护措施监督检查清单</w:t>
          </w:r>
          <w:r>
            <w:tab/>
          </w:r>
          <w:r>
            <w:fldChar w:fldCharType="begin"/>
          </w:r>
          <w:r>
            <w:instrText xml:space="preserve"> PAGEREF _Toc122338525 \h </w:instrText>
          </w:r>
          <w:r>
            <w:fldChar w:fldCharType="separate"/>
          </w:r>
          <w:r>
            <w:t>98</w:t>
          </w:r>
          <w:r>
            <w:fldChar w:fldCharType="end"/>
          </w:r>
          <w:r>
            <w:fldChar w:fldCharType="end"/>
          </w:r>
        </w:p>
        <w:p>
          <w:pPr>
            <w:pStyle w:val="26"/>
            <w:tabs>
              <w:tab w:val="left" w:pos="420"/>
            </w:tabs>
            <w:rPr>
              <w:rFonts w:asciiTheme="minorHAnsi" w:hAnsiTheme="minorHAnsi" w:eastAsiaTheme="minorEastAsia" w:cstheme="minorBidi"/>
              <w:b w:val="0"/>
              <w:bCs w:val="0"/>
              <w:caps w:val="0"/>
              <w:sz w:val="21"/>
              <w:szCs w:val="22"/>
            </w:rPr>
          </w:pPr>
          <w:r>
            <w:fldChar w:fldCharType="begin"/>
          </w:r>
          <w:r>
            <w:instrText xml:space="preserve"> HYPERLINK \l "_Toc122338526" </w:instrText>
          </w:r>
          <w:r>
            <w:fldChar w:fldCharType="separate"/>
          </w:r>
          <w:r>
            <w:rPr>
              <w:rStyle w:val="42"/>
            </w:rPr>
            <w:t>6</w:t>
          </w:r>
          <w:r>
            <w:rPr>
              <w:rFonts w:asciiTheme="minorHAnsi" w:hAnsiTheme="minorHAnsi" w:eastAsiaTheme="minorEastAsia" w:cstheme="minorBidi"/>
              <w:b w:val="0"/>
              <w:bCs w:val="0"/>
              <w:caps w:val="0"/>
              <w:sz w:val="21"/>
              <w:szCs w:val="22"/>
            </w:rPr>
            <w:tab/>
          </w:r>
          <w:r>
            <w:rPr>
              <w:rStyle w:val="42"/>
            </w:rPr>
            <w:t>结论</w:t>
          </w:r>
          <w:r>
            <w:tab/>
          </w:r>
          <w:r>
            <w:fldChar w:fldCharType="begin"/>
          </w:r>
          <w:r>
            <w:instrText xml:space="preserve"> PAGEREF _Toc122338526 \h </w:instrText>
          </w:r>
          <w:r>
            <w:fldChar w:fldCharType="separate"/>
          </w:r>
          <w:r>
            <w:t>102</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"_Toc122338527" </w:instrText>
          </w:r>
          <w:r>
            <w:fldChar w:fldCharType="separate"/>
          </w:r>
          <w:r>
            <w:rPr>
              <w:rStyle w:val="42"/>
            </w:rPr>
            <w:t>附图1  建设项目地理位置图</w:t>
          </w:r>
          <w:r>
            <w:tab/>
          </w:r>
          <w:r>
            <w:fldChar w:fldCharType="begin"/>
          </w:r>
          <w:r>
            <w:instrText xml:space="preserve"> PAGEREF _Toc122338527 \h </w:instrText>
          </w:r>
          <w:r>
            <w:fldChar w:fldCharType="separate"/>
          </w:r>
          <w:r>
            <w:t>105</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"_Toc122338528" </w:instrText>
          </w:r>
          <w:r>
            <w:fldChar w:fldCharType="separate"/>
          </w:r>
          <w:r>
            <w:rPr>
              <w:rStyle w:val="42"/>
            </w:rPr>
            <w:t>附图2  项目四至关系图</w:t>
          </w:r>
          <w:r>
            <w:tab/>
          </w:r>
          <w:r>
            <w:fldChar w:fldCharType="begin"/>
          </w:r>
          <w:r>
            <w:instrText xml:space="preserve"> PAGEREF _Toc122338528 \h </w:instrText>
          </w:r>
          <w:r>
            <w:fldChar w:fldCharType="separate"/>
          </w:r>
          <w:r>
            <w:t>106</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"_Toc122338529" </w:instrText>
          </w:r>
          <w:r>
            <w:fldChar w:fldCharType="separate"/>
          </w:r>
          <w:r>
            <w:rPr>
              <w:rStyle w:val="42"/>
            </w:rPr>
            <w:t>附图3  平面布置图</w:t>
          </w:r>
          <w:r>
            <w:tab/>
          </w:r>
          <w:r>
            <w:fldChar w:fldCharType="begin"/>
          </w:r>
          <w:r>
            <w:instrText xml:space="preserve"> PAGEREF _Toc122338529 \h </w:instrText>
          </w:r>
          <w:r>
            <w:fldChar w:fldCharType="separate"/>
          </w:r>
          <w:r>
            <w:t>107</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"_Toc122338530" </w:instrText>
          </w:r>
          <w:r>
            <w:fldChar w:fldCharType="separate"/>
          </w:r>
          <w:r>
            <w:rPr>
              <w:rStyle w:val="42"/>
            </w:rPr>
            <w:t>附图4  项目500米范围图</w:t>
          </w:r>
          <w:r>
            <w:tab/>
          </w:r>
          <w:r>
            <w:fldChar w:fldCharType="begin"/>
          </w:r>
          <w:r>
            <w:instrText xml:space="preserve"> PAGEREF _Toc122338530 \h </w:instrText>
          </w:r>
          <w:r>
            <w:fldChar w:fldCharType="separate"/>
          </w:r>
          <w:r>
            <w:t>113</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"_Toc122338531" </w:instrText>
          </w:r>
          <w:r>
            <w:fldChar w:fldCharType="separate"/>
          </w:r>
          <w:r>
            <w:rPr>
              <w:rStyle w:val="42"/>
            </w:rPr>
            <w:t>附图5  项目周边环境实景图</w:t>
          </w:r>
          <w:r>
            <w:tab/>
          </w:r>
          <w:r>
            <w:fldChar w:fldCharType="begin"/>
          </w:r>
          <w:r>
            <w:instrText xml:space="preserve"> PAGEREF _Toc122338531 \h </w:instrText>
          </w:r>
          <w:r>
            <w:fldChar w:fldCharType="separate"/>
          </w:r>
          <w:r>
            <w:t>114</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"_Toc122338532" </w:instrText>
          </w:r>
          <w:r>
            <w:fldChar w:fldCharType="separate"/>
          </w:r>
          <w:r>
            <w:rPr>
              <w:rStyle w:val="42"/>
            </w:rPr>
            <w:t>附图6  生态保护红线</w:t>
          </w:r>
          <w:r>
            <w:tab/>
          </w:r>
          <w:r>
            <w:fldChar w:fldCharType="begin"/>
          </w:r>
          <w:r>
            <w:instrText xml:space="preserve"> PAGEREF _Toc122338532 \h </w:instrText>
          </w:r>
          <w:r>
            <w:fldChar w:fldCharType="separate"/>
          </w:r>
          <w:r>
            <w:t>115</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"_Toc122338533" </w:instrText>
          </w:r>
          <w:r>
            <w:fldChar w:fldCharType="separate"/>
          </w:r>
          <w:r>
            <w:rPr>
              <w:rStyle w:val="42"/>
            </w:rPr>
            <w:t>附图7  茂名市“三线一单”管控单元</w:t>
          </w:r>
          <w:r>
            <w:tab/>
          </w:r>
          <w:r>
            <w:fldChar w:fldCharType="begin"/>
          </w:r>
          <w:r>
            <w:instrText xml:space="preserve"> PAGEREF _Toc122338533 \h </w:instrText>
          </w:r>
          <w:r>
            <w:fldChar w:fldCharType="separate"/>
          </w:r>
          <w:r>
            <w:t>116</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"_Toc122338534" </w:instrText>
          </w:r>
          <w:r>
            <w:fldChar w:fldCharType="separate"/>
          </w:r>
          <w:r>
            <w:rPr>
              <w:rStyle w:val="42"/>
            </w:rPr>
            <w:t>附图8  大气环境功能区划图</w:t>
          </w:r>
          <w:r>
            <w:tab/>
          </w:r>
          <w:r>
            <w:fldChar w:fldCharType="begin"/>
          </w:r>
          <w:r>
            <w:instrText xml:space="preserve"> PAGEREF _Toc122338534 \h </w:instrText>
          </w:r>
          <w:r>
            <w:fldChar w:fldCharType="separate"/>
          </w:r>
          <w:r>
            <w:t>120</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"_Toc122338535" </w:instrText>
          </w:r>
          <w:r>
            <w:fldChar w:fldCharType="separate"/>
          </w:r>
          <w:r>
            <w:rPr>
              <w:rStyle w:val="42"/>
            </w:rPr>
            <w:t>附图9  地表水环境功能区划图</w:t>
          </w:r>
          <w:r>
            <w:tab/>
          </w:r>
          <w:r>
            <w:fldChar w:fldCharType="begin"/>
          </w:r>
          <w:r>
            <w:instrText xml:space="preserve"> PAGEREF _Toc122338535 \h </w:instrText>
          </w:r>
          <w:r>
            <w:fldChar w:fldCharType="separate"/>
          </w:r>
          <w:r>
            <w:t>121</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"_Toc122338536" </w:instrText>
          </w:r>
          <w:r>
            <w:fldChar w:fldCharType="separate"/>
          </w:r>
          <w:r>
            <w:rPr>
              <w:rStyle w:val="42"/>
            </w:rPr>
            <w:t>附图10  项目声环境功能区划图</w:t>
          </w:r>
          <w:r>
            <w:tab/>
          </w:r>
          <w:r>
            <w:fldChar w:fldCharType="begin"/>
          </w:r>
          <w:r>
            <w:instrText xml:space="preserve"> PAGEREF _Toc122338536 \h </w:instrText>
          </w:r>
          <w:r>
            <w:fldChar w:fldCharType="separate"/>
          </w:r>
          <w:r>
            <w:t>122</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"_Toc122338537" </w:instrText>
          </w:r>
          <w:r>
            <w:fldChar w:fldCharType="separate"/>
          </w:r>
          <w:r>
            <w:rPr>
              <w:rStyle w:val="42"/>
            </w:rPr>
            <w:t>附图11  项目噪声、环境空气质量监测布点图</w:t>
          </w:r>
          <w:r>
            <w:tab/>
          </w:r>
          <w:r>
            <w:fldChar w:fldCharType="begin"/>
          </w:r>
          <w:r>
            <w:instrText xml:space="preserve"> PAGEREF _Toc122338537 \h </w:instrText>
          </w:r>
          <w:r>
            <w:fldChar w:fldCharType="separate"/>
          </w:r>
          <w:r>
            <w:t>123</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"_Toc122338538" </w:instrText>
          </w:r>
          <w:r>
            <w:fldChar w:fldCharType="separate"/>
          </w:r>
          <w:r>
            <w:rPr>
              <w:rStyle w:val="42"/>
            </w:rPr>
            <w:t>附件1  营业执照</w:t>
          </w:r>
          <w:r>
            <w:tab/>
          </w:r>
          <w:r>
            <w:fldChar w:fldCharType="begin"/>
          </w:r>
          <w:r>
            <w:instrText xml:space="preserve"> PAGEREF _Toc122338538 \h </w:instrText>
          </w:r>
          <w:r>
            <w:fldChar w:fldCharType="separate"/>
          </w:r>
          <w:r>
            <w:t>124</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"_Toc122338539" </w:instrText>
          </w:r>
          <w:r>
            <w:fldChar w:fldCharType="separate"/>
          </w:r>
          <w:r>
            <w:rPr>
              <w:rStyle w:val="42"/>
            </w:rPr>
            <w:t>附件2  法人身份证</w:t>
          </w:r>
          <w:r>
            <w:tab/>
          </w:r>
          <w:r>
            <w:fldChar w:fldCharType="begin"/>
          </w:r>
          <w:r>
            <w:instrText xml:space="preserve"> PAGEREF _Toc122338539 \h </w:instrText>
          </w:r>
          <w:r>
            <w:fldChar w:fldCharType="separate"/>
          </w:r>
          <w:r>
            <w:t>125</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"_Toc122338540" </w:instrText>
          </w:r>
          <w:r>
            <w:fldChar w:fldCharType="separate"/>
          </w:r>
          <w:r>
            <w:rPr>
              <w:rStyle w:val="42"/>
            </w:rPr>
            <w:t>附件3  土地证</w:t>
          </w:r>
          <w:r>
            <w:tab/>
          </w:r>
          <w:r>
            <w:fldChar w:fldCharType="begin"/>
          </w:r>
          <w:r>
            <w:instrText xml:space="preserve"> PAGEREF _Toc122338540 \h </w:instrText>
          </w:r>
          <w:r>
            <w:fldChar w:fldCharType="separate"/>
          </w:r>
          <w:r>
            <w:t>126</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"_Toc122338541" </w:instrText>
          </w:r>
          <w:r>
            <w:fldChar w:fldCharType="separate"/>
          </w:r>
          <w:r>
            <w:rPr>
              <w:rStyle w:val="42"/>
            </w:rPr>
            <w:t>附件4  租赁合同</w:t>
          </w:r>
          <w:r>
            <w:tab/>
          </w:r>
          <w:r>
            <w:fldChar w:fldCharType="begin"/>
          </w:r>
          <w:r>
            <w:instrText xml:space="preserve"> PAGEREF _Toc122338541 \h </w:instrText>
          </w:r>
          <w:r>
            <w:fldChar w:fldCharType="separate"/>
          </w:r>
          <w:r>
            <w:t>131</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"_Toc122338542" </w:instrText>
          </w:r>
          <w:r>
            <w:fldChar w:fldCharType="separate"/>
          </w:r>
          <w:r>
            <w:rPr>
              <w:rStyle w:val="42"/>
            </w:rPr>
            <w:t>附件5  备案证</w:t>
          </w:r>
          <w:r>
            <w:tab/>
          </w:r>
          <w:r>
            <w:fldChar w:fldCharType="begin"/>
          </w:r>
          <w:r>
            <w:instrText xml:space="preserve"> PAGEREF _Toc122338542 \h </w:instrText>
          </w:r>
          <w:r>
            <w:fldChar w:fldCharType="separate"/>
          </w:r>
          <w:r>
            <w:t>132</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"_Toc122338543" </w:instrText>
          </w:r>
          <w:r>
            <w:fldChar w:fldCharType="separate"/>
          </w:r>
          <w:r>
            <w:rPr>
              <w:rStyle w:val="42"/>
            </w:rPr>
            <w:t>附件6  检验室等级有关事项的复函</w:t>
          </w:r>
          <w:r>
            <w:tab/>
          </w:r>
          <w:r>
            <w:fldChar w:fldCharType="begin"/>
          </w:r>
          <w:r>
            <w:instrText xml:space="preserve"> PAGEREF _Toc122338543 \h </w:instrText>
          </w:r>
          <w:r>
            <w:fldChar w:fldCharType="separate"/>
          </w:r>
          <w:r>
            <w:t>133</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"_Toc122338544" </w:instrText>
          </w:r>
          <w:r>
            <w:fldChar w:fldCharType="separate"/>
          </w:r>
          <w:r>
            <w:rPr>
              <w:rStyle w:val="42"/>
            </w:rPr>
            <w:t>附件7  引用监测数据（摘录）</w:t>
          </w:r>
          <w:r>
            <w:tab/>
          </w:r>
          <w:r>
            <w:fldChar w:fldCharType="begin"/>
          </w:r>
          <w:r>
            <w:instrText xml:space="preserve"> PAGEREF _Toc122338544 \h </w:instrText>
          </w:r>
          <w:r>
            <w:fldChar w:fldCharType="separate"/>
          </w:r>
          <w:r>
            <w:t>134</w:t>
          </w:r>
          <w:r>
            <w:fldChar w:fldCharType="end"/>
          </w:r>
          <w:r>
            <w:fldChar w:fldCharType="end"/>
          </w:r>
        </w:p>
        <w:p>
          <w:pPr>
            <w:pStyle w:val="26"/>
            <w:rPr>
              <w:rFonts w:asciiTheme="minorHAnsi" w:hAnsiTheme="minorHAnsi" w:eastAsiaTheme="minorEastAsia" w:cstheme="minorBidi"/>
              <w:b w:val="0"/>
              <w:bCs w:val="0"/>
              <w:caps w:val="0"/>
              <w:sz w:val="21"/>
              <w:szCs w:val="22"/>
            </w:rPr>
          </w:pPr>
          <w:r>
            <w:fldChar w:fldCharType="begin"/>
          </w:r>
          <w:r>
            <w:instrText xml:space="preserve"> HYPERLINK \l "_Toc122338545" </w:instrText>
          </w:r>
          <w:r>
            <w:fldChar w:fldCharType="separate"/>
          </w:r>
          <w:r>
            <w:rPr>
              <w:rStyle w:val="42"/>
            </w:rPr>
            <w:t>附件8  环境质量现状监测报告</w:t>
          </w:r>
          <w:r>
            <w:tab/>
          </w:r>
          <w:r>
            <w:fldChar w:fldCharType="begin"/>
          </w:r>
          <w:r>
            <w:instrText xml:space="preserve"> PAGEREF _Toc122338545 \h </w:instrText>
          </w:r>
          <w:r>
            <w:fldChar w:fldCharType="separate"/>
          </w:r>
          <w:r>
            <w:t>139</w:t>
          </w:r>
          <w:r>
            <w:fldChar w:fldCharType="end"/>
          </w:r>
          <w:r>
            <w:fldChar w:fldCharType="end"/>
          </w:r>
        </w:p>
        <w:p>
          <w:pPr>
            <w:ind w:firstLine="482"/>
          </w:pPr>
          <w:r>
            <w:rPr>
              <w:b/>
              <w:bCs/>
              <w:lang w:val="zh-CN"/>
            </w:rPr>
            <w:fldChar w:fldCharType="end"/>
          </w:r>
        </w:p>
      </w:sdtContent>
    </w:sdt>
    <w:p>
      <w:pPr>
        <w:ind w:firstLine="480"/>
      </w:pPr>
    </w:p>
    <w:p>
      <w:pPr>
        <w:ind w:firstLine="480"/>
      </w:pPr>
    </w:p>
    <w:p>
      <w:pPr>
        <w:ind w:firstLine="480"/>
      </w:pPr>
    </w:p>
    <w:p>
      <w:pPr>
        <w:ind w:firstLine="480"/>
        <w:sectPr>
          <w:pgSz w:w="11906" w:h="16838"/>
          <w:pgMar w:top="1440" w:right="1800" w:bottom="1440" w:left="1800" w:header="851" w:footer="992" w:gutter="0"/>
          <w:cols w:space="720" w:num="1"/>
          <w:docGrid w:type="lines" w:linePitch="326" w:charSpace="0"/>
        </w:sectPr>
      </w:pPr>
    </w:p>
    <w:p>
      <w:pPr>
        <w:pStyle w:val="2"/>
        <w:spacing w:before="326" w:after="326"/>
        <w:rPr>
          <w:lang w:eastAsia="zh-CN"/>
        </w:rPr>
      </w:pPr>
      <w:bookmarkStart w:id="3" w:name="_Toc122338476"/>
      <w:r>
        <w:rPr>
          <w:rFonts w:hint="eastAsia"/>
          <w:lang w:eastAsia="zh-CN"/>
        </w:rPr>
        <w:t>建设项目基本情况</w:t>
      </w:r>
      <w:bookmarkEnd w:id="3"/>
    </w:p>
    <w:tbl>
      <w:tblPr>
        <w:tblStyle w:val="3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21"/>
        <w:gridCol w:w="2666"/>
        <w:gridCol w:w="1817"/>
        <w:gridCol w:w="33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spacing w:line="240" w:lineRule="auto"/>
              <w:ind w:firstLine="0" w:firstLineChars="0"/>
              <w:jc w:val="center"/>
            </w:pPr>
            <w:r>
              <w:t>建设项目名称</w:t>
            </w:r>
          </w:p>
        </w:tc>
        <w:tc>
          <w:tcPr>
            <w:tcW w:w="7179" w:type="dxa"/>
            <w:gridSpan w:val="3"/>
            <w:vAlign w:val="center"/>
          </w:tcPr>
          <w:p>
            <w:pPr>
              <w:spacing w:line="240" w:lineRule="auto"/>
              <w:ind w:firstLine="0" w:firstLineChars="0"/>
              <w:jc w:val="center"/>
            </w:pPr>
            <w:bookmarkStart w:id="4" w:name="_Hlk121321807"/>
            <w:r>
              <w:rPr>
                <w:rFonts w:hint="eastAsia"/>
              </w:rPr>
              <w:t>广东中恒医学检验中心建设项目</w:t>
            </w:r>
            <w:bookmarkEnd w:id="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spacing w:line="240" w:lineRule="auto"/>
              <w:ind w:firstLine="0" w:firstLineChars="0"/>
              <w:jc w:val="center"/>
            </w:pPr>
            <w:r>
              <w:t>项目代码</w:t>
            </w:r>
          </w:p>
        </w:tc>
        <w:tc>
          <w:tcPr>
            <w:tcW w:w="7179" w:type="dxa"/>
            <w:gridSpan w:val="3"/>
            <w:vAlign w:val="center"/>
          </w:tcPr>
          <w:p>
            <w:pPr>
              <w:spacing w:line="240" w:lineRule="auto"/>
              <w:ind w:firstLine="0" w:firstLineChars="0"/>
              <w:jc w:val="center"/>
            </w:pPr>
            <w:r>
              <w:t>2205-440900-04-01-928458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1691" w:type="dxa"/>
            <w:tcMar>
              <w:top w:w="16" w:type="dxa"/>
              <w:left w:w="16" w:type="dxa"/>
              <w:right w:w="16" w:type="dxa"/>
            </w:tcMar>
            <w:vAlign w:val="center"/>
          </w:tcPr>
          <w:p>
            <w:pPr>
              <w:spacing w:line="240" w:lineRule="auto"/>
              <w:ind w:firstLine="0" w:firstLineChars="0"/>
              <w:jc w:val="center"/>
            </w:pPr>
            <w:r>
              <w:t>建设单位联系人</w:t>
            </w:r>
          </w:p>
        </w:tc>
        <w:tc>
          <w:tcPr>
            <w:tcW w:w="2694" w:type="dxa"/>
            <w:vAlign w:val="center"/>
          </w:tcPr>
          <w:p>
            <w:pPr>
              <w:spacing w:line="240" w:lineRule="auto"/>
              <w:ind w:firstLine="0" w:firstLineChars="0"/>
              <w:jc w:val="center"/>
            </w:pPr>
            <w:r>
              <w:rPr>
                <w:rFonts w:hint="eastAsia"/>
              </w:rPr>
              <w:t>庞世湛</w:t>
            </w:r>
          </w:p>
        </w:tc>
        <w:tc>
          <w:tcPr>
            <w:tcW w:w="1559" w:type="dxa"/>
            <w:vAlign w:val="center"/>
          </w:tcPr>
          <w:p>
            <w:pPr>
              <w:spacing w:line="240" w:lineRule="auto"/>
              <w:ind w:firstLine="0" w:firstLineChars="0"/>
              <w:jc w:val="center"/>
            </w:pPr>
            <w:r>
              <w:t>联系方式</w:t>
            </w:r>
          </w:p>
        </w:tc>
        <w:tc>
          <w:tcPr>
            <w:tcW w:w="2926" w:type="dxa"/>
            <w:vAlign w:val="center"/>
          </w:tcPr>
          <w:p>
            <w:pPr>
              <w:spacing w:line="240" w:lineRule="auto"/>
              <w:ind w:firstLine="0" w:firstLineChars="0"/>
              <w:jc w:val="center"/>
            </w:pPr>
            <w:r>
              <w:rPr>
                <w:rFonts w:hint="eastAsia"/>
              </w:rPr>
              <w:t>1</w:t>
            </w:r>
            <w:r>
              <w:t>8718259051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spacing w:line="240" w:lineRule="auto"/>
              <w:ind w:firstLine="0" w:firstLineChars="0"/>
              <w:jc w:val="center"/>
            </w:pPr>
            <w:r>
              <w:t>建设地点</w:t>
            </w:r>
          </w:p>
        </w:tc>
        <w:tc>
          <w:tcPr>
            <w:tcW w:w="7179" w:type="dxa"/>
            <w:gridSpan w:val="3"/>
            <w:vAlign w:val="center"/>
          </w:tcPr>
          <w:p>
            <w:pPr>
              <w:spacing w:line="240" w:lineRule="auto"/>
              <w:ind w:firstLine="0" w:firstLineChars="0"/>
              <w:jc w:val="center"/>
            </w:pPr>
            <w:r>
              <w:rPr>
                <w:rFonts w:hint="eastAsia"/>
              </w:rPr>
              <w:t>茂名市高新区恒基路99号大院B仓一、二楼及建筑外东侧外延3米范围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spacing w:line="240" w:lineRule="auto"/>
              <w:ind w:firstLine="0" w:firstLineChars="0"/>
              <w:jc w:val="center"/>
            </w:pPr>
            <w:r>
              <w:t>地理坐标</w:t>
            </w:r>
          </w:p>
        </w:tc>
        <w:tc>
          <w:tcPr>
            <w:tcW w:w="7179" w:type="dxa"/>
            <w:gridSpan w:val="3"/>
            <w:vAlign w:val="center"/>
          </w:tcPr>
          <w:p>
            <w:pPr>
              <w:spacing w:line="240" w:lineRule="auto"/>
              <w:ind w:firstLine="0" w:firstLineChars="0"/>
              <w:jc w:val="center"/>
            </w:pPr>
            <w:r>
              <w:t>（东经110度57分48.886秒，北纬21度35分26.962秒）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91" w:type="dxa"/>
            <w:tcMar>
              <w:top w:w="16" w:type="dxa"/>
              <w:left w:w="16" w:type="dxa"/>
              <w:right w:w="16" w:type="dxa"/>
            </w:tcMar>
            <w:vAlign w:val="center"/>
          </w:tcPr>
          <w:p>
            <w:pPr>
              <w:spacing w:line="240" w:lineRule="auto"/>
              <w:ind w:firstLine="0" w:firstLineChars="0"/>
              <w:jc w:val="center"/>
            </w:pPr>
            <w:r>
              <w:rPr>
                <w:rFonts w:hint="eastAsia"/>
              </w:rPr>
              <w:t>国民经济行业分类</w:t>
            </w:r>
          </w:p>
        </w:tc>
        <w:tc>
          <w:tcPr>
            <w:tcW w:w="2694" w:type="dxa"/>
            <w:vAlign w:val="center"/>
          </w:tcPr>
          <w:p>
            <w:pPr>
              <w:spacing w:line="240" w:lineRule="auto"/>
              <w:ind w:firstLine="0" w:firstLineChars="0"/>
              <w:jc w:val="center"/>
            </w:pPr>
            <w:r>
              <w:rPr>
                <w:rFonts w:hint="eastAsia"/>
              </w:rPr>
              <w:t>Q8492临床检验服务</w:t>
            </w:r>
          </w:p>
        </w:tc>
        <w:tc>
          <w:tcPr>
            <w:tcW w:w="1559" w:type="dxa"/>
            <w:vAlign w:val="center"/>
          </w:tcPr>
          <w:p>
            <w:pPr>
              <w:spacing w:line="240" w:lineRule="auto"/>
              <w:ind w:firstLine="0" w:firstLineChars="0"/>
              <w:jc w:val="center"/>
            </w:pPr>
            <w:bookmarkStart w:id="5" w:name="_Hlk49843745"/>
            <w:r>
              <w:t>建设项目行业类别</w:t>
            </w:r>
            <w:bookmarkEnd w:id="5"/>
          </w:p>
        </w:tc>
        <w:tc>
          <w:tcPr>
            <w:tcW w:w="2926" w:type="dxa"/>
            <w:vAlign w:val="center"/>
          </w:tcPr>
          <w:p>
            <w:pPr>
              <w:spacing w:line="240" w:lineRule="auto"/>
              <w:ind w:firstLine="0" w:firstLineChars="0"/>
              <w:jc w:val="center"/>
            </w:pPr>
            <w:r>
              <w:rPr>
                <w:rFonts w:hint="eastAsia"/>
                <w:kern w:val="0"/>
              </w:rPr>
              <w:t>四十五、研究和试验发展98 专业实验室、研发（试验）基地中的“其他（不产生实验废气、废水、危险废物的除外）”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91" w:type="dxa"/>
            <w:tcMar>
              <w:top w:w="16" w:type="dxa"/>
              <w:left w:w="16" w:type="dxa"/>
              <w:right w:w="16" w:type="dxa"/>
            </w:tcMar>
            <w:vAlign w:val="center"/>
          </w:tcPr>
          <w:p>
            <w:pPr>
              <w:spacing w:line="240" w:lineRule="auto"/>
              <w:ind w:firstLine="0" w:firstLineChars="0"/>
              <w:jc w:val="center"/>
            </w:pPr>
            <w:r>
              <w:t>建设性质</w:t>
            </w:r>
          </w:p>
        </w:tc>
        <w:tc>
          <w:tcPr>
            <w:tcW w:w="2694" w:type="dxa"/>
            <w:vAlign w:val="center"/>
          </w:tcPr>
          <w:p>
            <w:pPr>
              <w:spacing w:line="240" w:lineRule="auto"/>
              <w:ind w:firstLine="0" w:firstLineChars="0"/>
              <w:jc w:val="center"/>
            </w:pPr>
            <w:r>
              <w:rPr/>
              <w:sym w:font="Wingdings" w:char="F0FE"/>
            </w:r>
            <w:r>
              <w:t>新建（迁建）</w:t>
            </w:r>
          </w:p>
          <w:p>
            <w:pPr>
              <w:spacing w:line="240" w:lineRule="auto"/>
              <w:ind w:firstLine="0" w:firstLineChars="0"/>
              <w:jc w:val="center"/>
            </w:pPr>
            <w:r>
              <w:rPr/>
              <w:sym w:font="Wingdings 2" w:char="00A3"/>
            </w:r>
            <w:r>
              <w:t>改建</w:t>
            </w:r>
          </w:p>
          <w:p>
            <w:pPr>
              <w:spacing w:line="240" w:lineRule="auto"/>
              <w:ind w:firstLine="0" w:firstLineChars="0"/>
              <w:jc w:val="center"/>
            </w:pPr>
            <w:r>
              <w:rPr/>
              <w:sym w:font="Wingdings 2" w:char="00A3"/>
            </w:r>
            <w:r>
              <w:t>扩建</w:t>
            </w:r>
          </w:p>
          <w:p>
            <w:pPr>
              <w:spacing w:line="240" w:lineRule="auto"/>
              <w:ind w:firstLine="0" w:firstLineChars="0"/>
              <w:jc w:val="center"/>
            </w:pPr>
            <w:r>
              <w:rPr/>
              <w:sym w:font="Wingdings 2" w:char="00A3"/>
            </w:r>
            <w:r>
              <w:t>技术改造</w:t>
            </w:r>
          </w:p>
        </w:tc>
        <w:tc>
          <w:tcPr>
            <w:tcW w:w="1559" w:type="dxa"/>
            <w:vAlign w:val="center"/>
          </w:tcPr>
          <w:p>
            <w:pPr>
              <w:spacing w:line="240" w:lineRule="auto"/>
              <w:ind w:firstLine="0" w:firstLineChars="0"/>
              <w:jc w:val="center"/>
            </w:pPr>
            <w:r>
              <w:t>建设项目</w:t>
            </w:r>
          </w:p>
          <w:p>
            <w:pPr>
              <w:spacing w:line="240" w:lineRule="auto"/>
              <w:ind w:firstLine="0" w:firstLineChars="0"/>
              <w:jc w:val="center"/>
            </w:pPr>
            <w:r>
              <w:t>申报情形</w:t>
            </w:r>
          </w:p>
        </w:tc>
        <w:tc>
          <w:tcPr>
            <w:tcW w:w="2926" w:type="dxa"/>
            <w:vAlign w:val="center"/>
          </w:tcPr>
          <w:p>
            <w:pPr>
              <w:spacing w:line="240" w:lineRule="auto"/>
              <w:ind w:firstLine="0" w:firstLineChars="0"/>
              <w:jc w:val="center"/>
            </w:pPr>
            <w:r>
              <w:rPr/>
              <w:sym w:font="Wingdings" w:char="F0FE"/>
            </w:r>
            <w:r>
              <w:t>首次申报项目</w:t>
            </w:r>
          </w:p>
          <w:p>
            <w:pPr>
              <w:spacing w:line="240" w:lineRule="auto"/>
              <w:ind w:firstLine="0" w:firstLineChars="0"/>
              <w:jc w:val="center"/>
            </w:pPr>
            <w:r>
              <w:rPr/>
              <w:sym w:font="Wingdings 2" w:char="00A3"/>
            </w:r>
            <w:r>
              <w:t>不予批准后再次申报项目</w:t>
            </w:r>
          </w:p>
          <w:p>
            <w:pPr>
              <w:spacing w:line="240" w:lineRule="auto"/>
              <w:ind w:firstLine="0" w:firstLineChars="0"/>
              <w:jc w:val="center"/>
            </w:pPr>
            <w:r>
              <w:rPr/>
              <w:sym w:font="Wingdings 2" w:char="00A3"/>
            </w:r>
            <w:r>
              <w:t>超五年重新审核项目</w:t>
            </w:r>
          </w:p>
          <w:p>
            <w:pPr>
              <w:spacing w:line="240" w:lineRule="auto"/>
              <w:ind w:firstLine="0" w:firstLineChars="0"/>
              <w:jc w:val="center"/>
            </w:pPr>
            <w:r>
              <w:rPr/>
              <w:sym w:font="Wingdings 2" w:char="00A3"/>
            </w:r>
            <w: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91" w:type="dxa"/>
            <w:tcMar>
              <w:top w:w="16" w:type="dxa"/>
              <w:left w:w="16" w:type="dxa"/>
              <w:right w:w="16" w:type="dxa"/>
            </w:tcMar>
            <w:vAlign w:val="center"/>
          </w:tcPr>
          <w:p>
            <w:pPr>
              <w:spacing w:line="240" w:lineRule="auto"/>
              <w:ind w:firstLine="0" w:firstLineChars="0"/>
              <w:jc w:val="center"/>
            </w:pPr>
            <w:r>
              <w:t>项目审批（核准/备案）部门（选填）</w:t>
            </w:r>
          </w:p>
        </w:tc>
        <w:tc>
          <w:tcPr>
            <w:tcW w:w="2694" w:type="dxa"/>
            <w:vAlign w:val="center"/>
          </w:tcPr>
          <w:p>
            <w:pPr>
              <w:spacing w:line="240" w:lineRule="auto"/>
              <w:ind w:firstLine="0" w:firstLineChars="0"/>
              <w:jc w:val="center"/>
            </w:pPr>
            <w:r>
              <w:t>/</w:t>
            </w:r>
          </w:p>
        </w:tc>
        <w:tc>
          <w:tcPr>
            <w:tcW w:w="1559" w:type="dxa"/>
            <w:vAlign w:val="center"/>
          </w:tcPr>
          <w:p>
            <w:pPr>
              <w:spacing w:line="240" w:lineRule="auto"/>
              <w:ind w:firstLine="0" w:firstLineChars="0"/>
              <w:jc w:val="center"/>
            </w:pPr>
            <w:r>
              <w:t>项目审批（核准/备案）文号（选填）</w:t>
            </w:r>
          </w:p>
        </w:tc>
        <w:tc>
          <w:tcPr>
            <w:tcW w:w="2926" w:type="dxa"/>
            <w:vAlign w:val="center"/>
          </w:tcPr>
          <w:p>
            <w:pPr>
              <w:spacing w:line="240" w:lineRule="auto"/>
              <w:ind w:firstLine="0" w:firstLineChars="0"/>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spacing w:line="240" w:lineRule="auto"/>
              <w:ind w:firstLine="0" w:firstLineChars="0"/>
              <w:jc w:val="center"/>
            </w:pPr>
            <w:r>
              <w:t>总投资（万元）</w:t>
            </w:r>
          </w:p>
        </w:tc>
        <w:tc>
          <w:tcPr>
            <w:tcW w:w="2694" w:type="dxa"/>
            <w:vAlign w:val="center"/>
          </w:tcPr>
          <w:p>
            <w:pPr>
              <w:spacing w:line="240" w:lineRule="auto"/>
              <w:ind w:firstLine="0" w:firstLineChars="0"/>
              <w:jc w:val="center"/>
            </w:pPr>
            <w:r>
              <w:t>7000</w:t>
            </w:r>
          </w:p>
        </w:tc>
        <w:tc>
          <w:tcPr>
            <w:tcW w:w="1559" w:type="dxa"/>
            <w:tcMar>
              <w:top w:w="16" w:type="dxa"/>
              <w:left w:w="16" w:type="dxa"/>
              <w:right w:w="16" w:type="dxa"/>
            </w:tcMar>
            <w:vAlign w:val="center"/>
          </w:tcPr>
          <w:p>
            <w:pPr>
              <w:spacing w:line="240" w:lineRule="auto"/>
              <w:ind w:firstLine="0" w:firstLineChars="0"/>
              <w:jc w:val="center"/>
            </w:pPr>
            <w:r>
              <w:t>环保投资（万元）</w:t>
            </w:r>
          </w:p>
        </w:tc>
        <w:tc>
          <w:tcPr>
            <w:tcW w:w="2926" w:type="dxa"/>
            <w:vAlign w:val="center"/>
          </w:tcPr>
          <w:p>
            <w:pPr>
              <w:spacing w:line="240" w:lineRule="auto"/>
              <w:ind w:firstLine="0" w:firstLineChars="0"/>
              <w:jc w:val="center"/>
            </w:pPr>
            <w:r>
              <w:rPr>
                <w:rFonts w:hint="eastAsia"/>
              </w:rPr>
              <w:t>5</w:t>
            </w:r>
            <w: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spacing w:line="240" w:lineRule="auto"/>
              <w:ind w:firstLine="0" w:firstLineChars="0"/>
              <w:jc w:val="center"/>
            </w:pPr>
            <w:r>
              <w:t>环保投资占比（%）</w:t>
            </w:r>
          </w:p>
        </w:tc>
        <w:tc>
          <w:tcPr>
            <w:tcW w:w="2694" w:type="dxa"/>
            <w:vAlign w:val="center"/>
          </w:tcPr>
          <w:p>
            <w:pPr>
              <w:spacing w:line="240" w:lineRule="auto"/>
              <w:ind w:firstLine="0" w:firstLineChars="0"/>
              <w:jc w:val="center"/>
            </w:pPr>
            <w:r>
              <w:t>0.78</w:t>
            </w:r>
          </w:p>
        </w:tc>
        <w:tc>
          <w:tcPr>
            <w:tcW w:w="1559" w:type="dxa"/>
            <w:tcMar>
              <w:top w:w="16" w:type="dxa"/>
              <w:left w:w="16" w:type="dxa"/>
              <w:right w:w="16" w:type="dxa"/>
            </w:tcMar>
            <w:vAlign w:val="center"/>
          </w:tcPr>
          <w:p>
            <w:pPr>
              <w:spacing w:line="240" w:lineRule="auto"/>
              <w:ind w:firstLine="0" w:firstLineChars="0"/>
              <w:jc w:val="center"/>
            </w:pPr>
            <w:r>
              <w:t>施工工期</w:t>
            </w:r>
          </w:p>
        </w:tc>
        <w:tc>
          <w:tcPr>
            <w:tcW w:w="2926" w:type="dxa"/>
            <w:vAlign w:val="center"/>
          </w:tcPr>
          <w:p>
            <w:pPr>
              <w:spacing w:line="240" w:lineRule="auto"/>
              <w:ind w:firstLine="0" w:firstLineChars="0"/>
              <w:jc w:val="center"/>
            </w:pPr>
            <w:r>
              <w:rPr>
                <w:rFonts w:hint="eastAsia"/>
              </w:rPr>
              <w:t>6</w:t>
            </w:r>
            <w:r>
              <w:t>0</w:t>
            </w:r>
            <w:r>
              <w:rPr>
                <w:rFonts w:hint="eastAsia"/>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spacing w:line="240" w:lineRule="auto"/>
              <w:ind w:firstLine="0" w:firstLineChars="0"/>
              <w:jc w:val="center"/>
            </w:pPr>
            <w:r>
              <w:t>是否开工建设</w:t>
            </w:r>
          </w:p>
        </w:tc>
        <w:tc>
          <w:tcPr>
            <w:tcW w:w="2694" w:type="dxa"/>
            <w:vAlign w:val="center"/>
          </w:tcPr>
          <w:p>
            <w:pPr>
              <w:spacing w:line="240" w:lineRule="auto"/>
              <w:ind w:firstLine="0" w:firstLineChars="0"/>
              <w:jc w:val="center"/>
            </w:pPr>
            <w:r>
              <w:rPr/>
              <w:sym w:font="Wingdings" w:char="F0FE"/>
            </w:r>
            <w:r>
              <w:t>否</w:t>
            </w:r>
          </w:p>
          <w:p>
            <w:pPr>
              <w:spacing w:line="240" w:lineRule="auto"/>
              <w:ind w:firstLine="0" w:firstLineChars="0"/>
              <w:jc w:val="center"/>
            </w:pPr>
            <w:r>
              <w:rPr/>
              <w:sym w:font="Wingdings 2" w:char="00A3"/>
            </w:r>
            <w:r>
              <w:t>是</w:t>
            </w:r>
          </w:p>
        </w:tc>
        <w:tc>
          <w:tcPr>
            <w:tcW w:w="1559" w:type="dxa"/>
            <w:tcMar>
              <w:top w:w="16" w:type="dxa"/>
              <w:left w:w="16" w:type="dxa"/>
              <w:right w:w="16" w:type="dxa"/>
            </w:tcMar>
            <w:vAlign w:val="center"/>
          </w:tcPr>
          <w:p>
            <w:pPr>
              <w:spacing w:line="240" w:lineRule="auto"/>
              <w:ind w:firstLine="0" w:firstLineChars="0"/>
              <w:jc w:val="center"/>
            </w:pPr>
            <w:r>
              <w:rPr>
                <w:spacing w:val="-6"/>
              </w:rPr>
              <w:t>用地（用海）面积（m</w:t>
            </w:r>
            <w:r>
              <w:rPr>
                <w:spacing w:val="-6"/>
                <w:vertAlign w:val="superscript"/>
              </w:rPr>
              <w:t>2</w:t>
            </w:r>
            <w:r>
              <w:rPr>
                <w:spacing w:val="-6"/>
              </w:rPr>
              <w:t>）</w:t>
            </w:r>
          </w:p>
        </w:tc>
        <w:tc>
          <w:tcPr>
            <w:tcW w:w="2926" w:type="dxa"/>
            <w:vAlign w:val="center"/>
          </w:tcPr>
          <w:p>
            <w:pPr>
              <w:spacing w:line="240" w:lineRule="auto"/>
              <w:ind w:firstLine="0" w:firstLineChars="0"/>
              <w:jc w:val="center"/>
            </w:pPr>
            <w:r>
              <w:rPr>
                <w:rFonts w:hint="eastAsia"/>
              </w:rPr>
              <w:t>1</w:t>
            </w:r>
            <w:r>
              <w:t>538.84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54" w:hRule="atLeast"/>
          <w:jc w:val="center"/>
        </w:trPr>
        <w:tc>
          <w:tcPr>
            <w:tcW w:w="1691" w:type="dxa"/>
            <w:vAlign w:val="center"/>
          </w:tcPr>
          <w:p>
            <w:pPr>
              <w:spacing w:line="240" w:lineRule="auto"/>
              <w:ind w:firstLine="0" w:firstLineChars="0"/>
              <w:jc w:val="center"/>
              <w:rPr>
                <w:kern w:val="0"/>
              </w:rPr>
            </w:pPr>
            <w:r>
              <w:rPr>
                <w:kern w:val="0"/>
              </w:rPr>
              <w:t>专项</w:t>
            </w:r>
            <w:r>
              <w:t>评价</w:t>
            </w:r>
            <w:r>
              <w:rPr>
                <w:kern w:val="0"/>
              </w:rPr>
              <w:t>设置情况</w:t>
            </w:r>
          </w:p>
        </w:tc>
        <w:tc>
          <w:tcPr>
            <w:tcW w:w="7179" w:type="dxa"/>
            <w:gridSpan w:val="3"/>
            <w:vAlign w:val="center"/>
          </w:tcPr>
          <w:p>
            <w:pPr>
              <w:pStyle w:val="3"/>
              <w:numPr>
                <w:ilvl w:val="1"/>
                <w:numId w:val="1"/>
              </w:numPr>
            </w:pPr>
            <w:bookmarkStart w:id="6" w:name="_Toc87230818"/>
            <w:bookmarkStart w:id="7" w:name="_Toc5646"/>
            <w:bookmarkStart w:id="8" w:name="_Toc88926826"/>
            <w:bookmarkStart w:id="9" w:name="_Toc88926396"/>
            <w:bookmarkStart w:id="10" w:name="_Toc11693"/>
            <w:bookmarkStart w:id="11" w:name="_Toc28221"/>
            <w:bookmarkStart w:id="12" w:name="_Toc120889786"/>
            <w:bookmarkStart w:id="13" w:name="_Toc121147710"/>
            <w:bookmarkStart w:id="14" w:name="_Toc122338477"/>
            <w:r>
              <w:t>本项目专项评价设置情况详见下表。</w:t>
            </w:r>
            <w:bookmarkEnd w:id="6"/>
            <w:bookmarkEnd w:id="7"/>
            <w:bookmarkEnd w:id="8"/>
            <w:bookmarkEnd w:id="9"/>
            <w:bookmarkEnd w:id="10"/>
            <w:bookmarkEnd w:id="11"/>
            <w:bookmarkEnd w:id="12"/>
            <w:bookmarkEnd w:id="13"/>
            <w:bookmarkEnd w:id="14"/>
          </w:p>
          <w:p>
            <w:pPr>
              <w:pStyle w:val="55"/>
            </w:pPr>
            <w:r>
              <w:rPr>
                <w:lang w:val="en-US"/>
              </w:rPr>
              <w:fldChar w:fldCharType="begin"/>
            </w:r>
            <w:r>
              <w:rPr>
                <w:lang w:val="en-US"/>
              </w:rPr>
              <w:instrText xml:space="preserve"> STYLEREF 2 \s </w:instrText>
            </w:r>
            <w:r>
              <w:rPr>
                <w:lang w:val="en-US"/>
              </w:rPr>
              <w:fldChar w:fldCharType="separate"/>
            </w:r>
            <w:r>
              <w:rPr>
                <w:lang w:val="en-US"/>
              </w:rPr>
              <w:t>1.1</w:t>
            </w:r>
            <w:r>
              <w:rPr>
                <w:lang w:val="en-US"/>
              </w:rPr>
              <w:fldChar w:fldCharType="end"/>
            </w:r>
            <w:r>
              <w:noBreakHyphen/>
            </w:r>
            <w:r>
              <w:fldChar w:fldCharType="begin"/>
            </w:r>
            <w:r>
              <w:instrText xml:space="preserve"> SEQ 表格 \* ARABIC \s 2 </w:instrText>
            </w:r>
            <w:r>
              <w:fldChar w:fldCharType="separate"/>
            </w:r>
            <w:r>
              <w:t>1</w:t>
            </w:r>
            <w:r>
              <w:fldChar w:fldCharType="end"/>
            </w:r>
            <w:r>
              <w:t xml:space="preserve"> 本项目专项评价设置情况</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3667"/>
              <w:gridCol w:w="28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pPr>
                    <w:pStyle w:val="56"/>
                  </w:pPr>
                  <w:r>
                    <w:t>专项评价类别</w:t>
                  </w:r>
                </w:p>
              </w:tc>
              <w:tc>
                <w:tcPr>
                  <w:tcW w:w="2402" w:type="pct"/>
                  <w:vAlign w:val="center"/>
                </w:tcPr>
                <w:p>
                  <w:pPr>
                    <w:pStyle w:val="56"/>
                  </w:pPr>
                  <w:r>
                    <w:t>设置原则</w:t>
                  </w:r>
                </w:p>
              </w:tc>
              <w:tc>
                <w:tcPr>
                  <w:tcW w:w="1861" w:type="pct"/>
                  <w:vAlign w:val="center"/>
                </w:tcPr>
                <w:p>
                  <w:pPr>
                    <w:pStyle w:val="56"/>
                  </w:pPr>
                  <w:r>
                    <w:t>设置情况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pPr>
                    <w:pStyle w:val="56"/>
                  </w:pPr>
                  <w:r>
                    <w:t>大气</w:t>
                  </w:r>
                </w:p>
              </w:tc>
              <w:tc>
                <w:tcPr>
                  <w:tcW w:w="2402" w:type="pct"/>
                  <w:vAlign w:val="center"/>
                </w:tcPr>
                <w:p>
                  <w:pPr>
                    <w:pStyle w:val="56"/>
                  </w:pPr>
                  <w:r>
                    <w:t>排放废气含有毒有害污染物、二噁英、苯并[a]芘、氰化物、氯气且厂界外500米范围内有环境空气保护目标的建设项目。</w:t>
                  </w:r>
                </w:p>
              </w:tc>
              <w:tc>
                <w:tcPr>
                  <w:tcW w:w="1861" w:type="pct"/>
                  <w:vAlign w:val="center"/>
                </w:tcPr>
                <w:p>
                  <w:pPr>
                    <w:pStyle w:val="56"/>
                  </w:pPr>
                  <w:r>
                    <w:rPr>
                      <w:rFonts w:hint="eastAsia"/>
                    </w:rPr>
                    <w:t>项目排放废气不包括</w:t>
                  </w:r>
                  <w:r>
                    <w:t>有毒有害污染物、二噁英、苯并[a]芘、氰化物、氯气</w:t>
                  </w:r>
                  <w:r>
                    <w:rPr>
                      <w:rFonts w:hint="eastAsia"/>
                    </w:rPr>
                    <w:t>这几种，</w:t>
                  </w:r>
                  <w:r>
                    <w:t>不设置</w:t>
                  </w:r>
                  <w:r>
                    <w:rPr>
                      <w:rFonts w:hint="eastAsia"/>
                      <w:lang w:eastAsia="zh-CN"/>
                    </w:rPr>
                    <w:t>大气专项评价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pPr>
                    <w:pStyle w:val="56"/>
                  </w:pPr>
                  <w:r>
                    <w:t>地表水</w:t>
                  </w:r>
                </w:p>
              </w:tc>
              <w:tc>
                <w:tcPr>
                  <w:tcW w:w="2402" w:type="pct"/>
                  <w:vAlign w:val="center"/>
                </w:tcPr>
                <w:p>
                  <w:pPr>
                    <w:pStyle w:val="56"/>
                  </w:pPr>
                  <w:r>
                    <w:t>新增工业废水直排建设项目（槽罐车外送污水处理厂的除外）；新增废水直排的污水集中处理厂。</w:t>
                  </w:r>
                </w:p>
              </w:tc>
              <w:tc>
                <w:tcPr>
                  <w:tcW w:w="1861" w:type="pct"/>
                  <w:vAlign w:val="center"/>
                </w:tcPr>
                <w:p>
                  <w:pPr>
                    <w:pStyle w:val="56"/>
                  </w:pPr>
                  <w:r>
                    <w:rPr>
                      <w:rFonts w:hint="eastAsia"/>
                    </w:rPr>
                    <w:t>项目属于</w:t>
                  </w:r>
                  <w:r>
                    <w:rPr>
                      <w:rFonts w:hint="eastAsia"/>
                      <w:lang w:eastAsia="zh-CN"/>
                    </w:rPr>
                    <w:t>医学检验检验室</w:t>
                  </w:r>
                  <w:r>
                    <w:rPr>
                      <w:rFonts w:hint="eastAsia"/>
                    </w:rPr>
                    <w:t>，废水通过</w:t>
                  </w:r>
                  <w:r>
                    <w:rPr>
                      <w:rFonts w:hint="eastAsia"/>
                      <w:lang w:eastAsia="zh-CN"/>
                    </w:rPr>
                    <w:t>园区</w:t>
                  </w:r>
                  <w:r>
                    <w:rPr>
                      <w:rFonts w:hint="eastAsia"/>
                    </w:rPr>
                    <w:t>管网排至</w:t>
                  </w:r>
                  <w:r>
                    <w:rPr>
                      <w:rFonts w:hint="eastAsia"/>
                      <w:lang w:eastAsia="zh-CN"/>
                    </w:rPr>
                    <w:t>茂名高新技术产业开发区污水处理厂</w:t>
                  </w:r>
                  <w:r>
                    <w:rPr>
                      <w:rFonts w:hint="eastAsia"/>
                    </w:rPr>
                    <w:t>，</w:t>
                  </w:r>
                  <w:r>
                    <w:t>不设置</w:t>
                  </w:r>
                  <w:r>
                    <w:rPr>
                      <w:rFonts w:hint="eastAsia"/>
                      <w:lang w:eastAsia="zh-CN"/>
                    </w:rPr>
                    <w:t>地表水专项评价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pPr>
                    <w:pStyle w:val="56"/>
                  </w:pPr>
                  <w:r>
                    <w:t>地下水</w:t>
                  </w:r>
                </w:p>
              </w:tc>
              <w:tc>
                <w:tcPr>
                  <w:tcW w:w="2402" w:type="pct"/>
                  <w:vAlign w:val="center"/>
                </w:tcPr>
                <w:p>
                  <w:pPr>
                    <w:pStyle w:val="56"/>
                  </w:pPr>
                  <w:r>
                    <w:t>涉及集中式饮用水水源和热水、矿泉水、温泉等特殊地下水资源保护区的开展地下水专项评价工作。</w:t>
                  </w:r>
                </w:p>
              </w:tc>
              <w:tc>
                <w:tcPr>
                  <w:tcW w:w="1861" w:type="pct"/>
                  <w:vAlign w:val="center"/>
                </w:tcPr>
                <w:p>
                  <w:pPr>
                    <w:pStyle w:val="56"/>
                  </w:pPr>
                  <w:r>
                    <w:rPr>
                      <w:rFonts w:hint="eastAsia"/>
                    </w:rPr>
                    <w:t>项目不涉及</w:t>
                  </w:r>
                  <w:r>
                    <w:t>集中式饮用水水源和热水、矿泉水、温泉等特殊地下水资源保护</w:t>
                  </w:r>
                  <w:r>
                    <w:rPr>
                      <w:rFonts w:hint="eastAsia"/>
                    </w:rPr>
                    <w:t>区，</w:t>
                  </w:r>
                  <w:r>
                    <w:t>不设置</w:t>
                  </w:r>
                  <w:r>
                    <w:rPr>
                      <w:rFonts w:hint="eastAsia"/>
                      <w:lang w:eastAsia="zh-CN"/>
                    </w:rPr>
                    <w:t>地下水专项评价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pPr>
                    <w:pStyle w:val="56"/>
                  </w:pPr>
                  <w:r>
                    <w:t>环境风险</w:t>
                  </w:r>
                </w:p>
              </w:tc>
              <w:tc>
                <w:tcPr>
                  <w:tcW w:w="2402" w:type="pct"/>
                  <w:vAlign w:val="center"/>
                </w:tcPr>
                <w:p>
                  <w:pPr>
                    <w:pStyle w:val="56"/>
                  </w:pPr>
                  <w:r>
                    <w:t>有毒有害和易燃易爆危险物质存储量超过临界量的建设项目。</w:t>
                  </w:r>
                </w:p>
              </w:tc>
              <w:tc>
                <w:tcPr>
                  <w:tcW w:w="1861" w:type="pct"/>
                  <w:vAlign w:val="center"/>
                </w:tcPr>
                <w:p>
                  <w:pPr>
                    <w:pStyle w:val="56"/>
                  </w:pPr>
                  <w:r>
                    <w:rPr>
                      <w:rFonts w:hint="eastAsia"/>
                    </w:rPr>
                    <w:t>项目储存的</w:t>
                  </w:r>
                  <w:r>
                    <w:t>有毒有害和</w:t>
                  </w:r>
                  <w:r>
                    <w:rPr>
                      <w:rFonts w:hint="eastAsia"/>
                    </w:rPr>
                    <w:t>易燃易爆物质不超过临界量，</w:t>
                  </w:r>
                  <w:r>
                    <w:t>不设置</w:t>
                  </w:r>
                  <w:r>
                    <w:rPr>
                      <w:rFonts w:hint="eastAsia"/>
                      <w:lang w:eastAsia="zh-CN"/>
                    </w:rPr>
                    <w:t>环境风险专项评价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pPr>
                    <w:pStyle w:val="56"/>
                  </w:pPr>
                  <w:r>
                    <w:t>生态</w:t>
                  </w:r>
                </w:p>
              </w:tc>
              <w:tc>
                <w:tcPr>
                  <w:tcW w:w="2402" w:type="pct"/>
                  <w:vAlign w:val="center"/>
                </w:tcPr>
                <w:p>
                  <w:pPr>
                    <w:pStyle w:val="56"/>
                  </w:pPr>
                  <w:r>
                    <w:t>取水口下游500米范围内有重要水生生物的自然产卵场、索饵场、越冬场和洄游通道的新增河道取水的污染类建设项目。</w:t>
                  </w:r>
                </w:p>
              </w:tc>
              <w:tc>
                <w:tcPr>
                  <w:tcW w:w="1861" w:type="pct"/>
                  <w:vAlign w:val="center"/>
                </w:tcPr>
                <w:p>
                  <w:pPr>
                    <w:pStyle w:val="56"/>
                    <w:rPr>
                      <w:lang w:eastAsia="zh-CN"/>
                    </w:rPr>
                  </w:pPr>
                  <w:r>
                    <w:rPr>
                      <w:rFonts w:hint="eastAsia"/>
                    </w:rPr>
                    <w:t>项目属于</w:t>
                  </w:r>
                  <w:r>
                    <w:rPr>
                      <w:rFonts w:hint="eastAsia"/>
                      <w:lang w:eastAsia="zh-CN"/>
                    </w:rPr>
                    <w:t>医学检验室</w:t>
                  </w:r>
                  <w:r>
                    <w:rPr>
                      <w:rFonts w:hint="eastAsia"/>
                    </w:rPr>
                    <w:t>，不包含取水口，</w:t>
                  </w:r>
                  <w:r>
                    <w:t>不设置</w:t>
                  </w:r>
                  <w:r>
                    <w:rPr>
                      <w:rFonts w:hint="eastAsia"/>
                      <w:lang w:eastAsia="zh-CN"/>
                    </w:rPr>
                    <w:t>生态专项评价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pPr>
                    <w:pStyle w:val="56"/>
                  </w:pPr>
                  <w:r>
                    <w:t>海洋</w:t>
                  </w:r>
                </w:p>
              </w:tc>
              <w:tc>
                <w:tcPr>
                  <w:tcW w:w="2402" w:type="pct"/>
                  <w:vAlign w:val="center"/>
                </w:tcPr>
                <w:p>
                  <w:pPr>
                    <w:pStyle w:val="56"/>
                  </w:pPr>
                  <w:r>
                    <w:t>直接向海排放污染物的海洋工程建设项目。</w:t>
                  </w:r>
                </w:p>
              </w:tc>
              <w:tc>
                <w:tcPr>
                  <w:tcW w:w="1861" w:type="pct"/>
                  <w:vAlign w:val="center"/>
                </w:tcPr>
                <w:p>
                  <w:pPr>
                    <w:pStyle w:val="56"/>
                  </w:pPr>
                  <w:r>
                    <w:rPr>
                      <w:rFonts w:hint="eastAsia"/>
                    </w:rPr>
                    <w:t>项目属于</w:t>
                  </w:r>
                  <w:r>
                    <w:rPr>
                      <w:rFonts w:hint="eastAsia"/>
                      <w:lang w:eastAsia="zh-CN"/>
                    </w:rPr>
                    <w:t>医学检验室</w:t>
                  </w:r>
                  <w:r>
                    <w:rPr>
                      <w:rFonts w:hint="eastAsia"/>
                    </w:rPr>
                    <w:t>，不向海排放污染物，</w:t>
                  </w:r>
                  <w:r>
                    <w:t>不设置</w:t>
                  </w:r>
                  <w:r>
                    <w:rPr>
                      <w:rFonts w:hint="eastAsia"/>
                      <w:lang w:eastAsia="zh-CN"/>
                    </w:rPr>
                    <w:t>海洋专项评价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pPr>
                    <w:pStyle w:val="56"/>
                  </w:pPr>
                  <w:r>
                    <w:t>土壤</w:t>
                  </w:r>
                </w:p>
              </w:tc>
              <w:tc>
                <w:tcPr>
                  <w:tcW w:w="2402" w:type="pct"/>
                  <w:vAlign w:val="center"/>
                </w:tcPr>
                <w:p>
                  <w:pPr>
                    <w:pStyle w:val="56"/>
                  </w:pPr>
                  <w:r>
                    <w:t>/</w:t>
                  </w:r>
                </w:p>
              </w:tc>
              <w:tc>
                <w:tcPr>
                  <w:tcW w:w="1861" w:type="pct"/>
                  <w:vAlign w:val="center"/>
                </w:tcPr>
                <w:p>
                  <w:pPr>
                    <w:pStyle w:val="56"/>
                  </w:pPr>
                  <w:r>
                    <w:t>不设置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pPr>
                    <w:pStyle w:val="56"/>
                  </w:pPr>
                  <w:r>
                    <w:t>声</w:t>
                  </w:r>
                </w:p>
              </w:tc>
              <w:tc>
                <w:tcPr>
                  <w:tcW w:w="2402" w:type="pct"/>
                  <w:vAlign w:val="center"/>
                </w:tcPr>
                <w:p>
                  <w:pPr>
                    <w:pStyle w:val="56"/>
                  </w:pPr>
                  <w:r>
                    <w:t>/</w:t>
                  </w:r>
                </w:p>
              </w:tc>
              <w:tc>
                <w:tcPr>
                  <w:tcW w:w="1861" w:type="pct"/>
                  <w:vAlign w:val="center"/>
                </w:tcPr>
                <w:p>
                  <w:pPr>
                    <w:pStyle w:val="56"/>
                  </w:pPr>
                  <w:r>
                    <w:t>不设置</w:t>
                  </w:r>
                </w:p>
              </w:tc>
            </w:tr>
          </w:tbl>
          <w:p>
            <w:pPr>
              <w:autoSpaceDE w:val="0"/>
              <w:autoSpaceDN w:val="0"/>
              <w:ind w:firstLine="480"/>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691" w:type="dxa"/>
            <w:vAlign w:val="center"/>
          </w:tcPr>
          <w:p>
            <w:pPr>
              <w:spacing w:line="240" w:lineRule="auto"/>
              <w:ind w:firstLine="0" w:firstLineChars="0"/>
              <w:jc w:val="center"/>
              <w:rPr>
                <w:kern w:val="0"/>
                <w:szCs w:val="21"/>
              </w:rPr>
            </w:pPr>
            <w:r>
              <w:rPr>
                <w:szCs w:val="21"/>
              </w:rPr>
              <w:t>规划</w:t>
            </w:r>
            <w:r>
              <w:t>情况</w:t>
            </w:r>
          </w:p>
        </w:tc>
        <w:tc>
          <w:tcPr>
            <w:tcW w:w="7179" w:type="dxa"/>
            <w:gridSpan w:val="3"/>
            <w:vAlign w:val="center"/>
          </w:tcPr>
          <w:p>
            <w:pPr>
              <w:spacing w:line="240" w:lineRule="auto"/>
              <w:ind w:firstLine="0" w:firstLineChars="0"/>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91" w:type="dxa"/>
            <w:vAlign w:val="center"/>
          </w:tcPr>
          <w:p>
            <w:pPr>
              <w:spacing w:line="240" w:lineRule="auto"/>
              <w:ind w:firstLine="0" w:firstLineChars="0"/>
              <w:jc w:val="center"/>
              <w:rPr>
                <w:szCs w:val="21"/>
              </w:rPr>
            </w:pPr>
            <w:r>
              <w:rPr>
                <w:szCs w:val="21"/>
              </w:rPr>
              <w:t>规划环境影响评价情况</w:t>
            </w:r>
          </w:p>
        </w:tc>
        <w:tc>
          <w:tcPr>
            <w:tcW w:w="7179" w:type="dxa"/>
            <w:gridSpan w:val="3"/>
            <w:vAlign w:val="center"/>
          </w:tcPr>
          <w:p>
            <w:pPr>
              <w:spacing w:line="240" w:lineRule="auto"/>
              <w:ind w:firstLine="0" w:firstLineChars="0"/>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91" w:type="dxa"/>
            <w:vAlign w:val="center"/>
          </w:tcPr>
          <w:p>
            <w:pPr>
              <w:spacing w:line="240" w:lineRule="auto"/>
              <w:ind w:firstLine="0" w:firstLineChars="0"/>
              <w:jc w:val="center"/>
              <w:rPr>
                <w:kern w:val="0"/>
                <w:szCs w:val="21"/>
              </w:rPr>
            </w:pPr>
            <w:r>
              <w:rPr>
                <w:kern w:val="0"/>
                <w:szCs w:val="21"/>
              </w:rPr>
              <w:t>规划及规划环境影响评价符合性分析</w:t>
            </w:r>
          </w:p>
        </w:tc>
        <w:tc>
          <w:tcPr>
            <w:tcW w:w="7179" w:type="dxa"/>
            <w:gridSpan w:val="3"/>
            <w:vAlign w:val="center"/>
          </w:tcPr>
          <w:p>
            <w:pPr>
              <w:spacing w:line="240" w:lineRule="auto"/>
              <w:ind w:firstLine="0" w:firstLineChars="0"/>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5" w:hRule="atLeast"/>
          <w:jc w:val="center"/>
        </w:trPr>
        <w:tc>
          <w:tcPr>
            <w:tcW w:w="1691" w:type="dxa"/>
            <w:vAlign w:val="center"/>
          </w:tcPr>
          <w:p>
            <w:pPr>
              <w:spacing w:line="240" w:lineRule="auto"/>
              <w:ind w:firstLine="0" w:firstLineChars="0"/>
              <w:jc w:val="center"/>
              <w:rPr>
                <w:kern w:val="0"/>
                <w:szCs w:val="21"/>
              </w:rPr>
            </w:pPr>
            <w:r>
              <w:rPr>
                <w:rFonts w:hint="eastAsia"/>
                <w:kern w:val="0"/>
                <w:szCs w:val="21"/>
              </w:rPr>
              <w:t>其他符合性分析</w:t>
            </w:r>
          </w:p>
        </w:tc>
        <w:tc>
          <w:tcPr>
            <w:tcW w:w="7179" w:type="dxa"/>
            <w:gridSpan w:val="3"/>
          </w:tcPr>
          <w:p>
            <w:pPr>
              <w:pStyle w:val="3"/>
            </w:pPr>
            <w:bookmarkStart w:id="15" w:name="_Toc120889787"/>
            <w:bookmarkStart w:id="16" w:name="_Toc121147711"/>
            <w:bookmarkStart w:id="17" w:name="_Toc122338478"/>
            <w:r>
              <w:rPr>
                <w:rFonts w:hint="eastAsia"/>
              </w:rPr>
              <w:t>与茂名市人民政府关于印发《茂名市“三线一单”生态环境分区管控方案》的通知（茂府规[2021]6 号）相符性分析</w:t>
            </w:r>
            <w:bookmarkEnd w:id="15"/>
            <w:bookmarkEnd w:id="16"/>
            <w:bookmarkEnd w:id="17"/>
          </w:p>
          <w:p>
            <w:pPr>
              <w:ind w:firstLine="480"/>
            </w:pPr>
            <w:r>
              <w:rPr>
                <w:rFonts w:hint="eastAsia"/>
              </w:rPr>
              <w:t>根据《茂名市“三线一单”生态环境分区管控方案》，本项目属于电白区中北部片区一般管控单元（</w:t>
            </w:r>
            <w:r>
              <w:rPr>
                <w:rFonts w:eastAsia="仿宋_GB2312"/>
                <w:szCs w:val="21"/>
              </w:rPr>
              <w:t>ZH44090430001</w:t>
            </w:r>
            <w:r>
              <w:rPr>
                <w:rFonts w:hint="eastAsia"/>
              </w:rPr>
              <w:t>），详见附图</w:t>
            </w:r>
            <w:r>
              <w:t>7</w:t>
            </w:r>
            <w:r>
              <w:rPr>
                <w:rFonts w:hint="eastAsia"/>
              </w:rPr>
              <w:t>茂名市陆域环境管控单元图。本项目与茂名市“三线一单”的相符性分析详见下表。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本项目与茂名市“三线一单”相符性分析</w:t>
            </w:r>
          </w:p>
          <w:tbl>
            <w:tblPr>
              <w:tblStyle w:val="3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4627"/>
              <w:gridCol w:w="14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pct"/>
                  <w:vAlign w:val="center"/>
                </w:tcPr>
                <w:p>
                  <w:pPr>
                    <w:pStyle w:val="56"/>
                    <w:rPr>
                      <w:rStyle w:val="299"/>
                    </w:rPr>
                  </w:pPr>
                  <w:r>
                    <w:rPr>
                      <w:rStyle w:val="299"/>
                      <w:rFonts w:hint="eastAsia"/>
                    </w:rPr>
                    <w:t>三线一单</w:t>
                  </w:r>
                </w:p>
              </w:tc>
              <w:tc>
                <w:tcPr>
                  <w:tcW w:w="3030" w:type="pct"/>
                  <w:vAlign w:val="center"/>
                </w:tcPr>
                <w:p>
                  <w:pPr>
                    <w:pStyle w:val="56"/>
                    <w:rPr>
                      <w:rStyle w:val="299"/>
                    </w:rPr>
                  </w:pPr>
                  <w:r>
                    <w:rPr>
                      <w:rStyle w:val="299"/>
                      <w:rFonts w:hint="eastAsia"/>
                    </w:rPr>
                    <w:t>本项目相符性分析</w:t>
                  </w:r>
                </w:p>
              </w:tc>
              <w:tc>
                <w:tcPr>
                  <w:tcW w:w="926" w:type="pct"/>
                  <w:vAlign w:val="center"/>
                </w:tcPr>
                <w:p>
                  <w:pPr>
                    <w:pStyle w:val="56"/>
                    <w:rPr>
                      <w:rStyle w:val="299"/>
                    </w:rPr>
                  </w:pPr>
                  <w:r>
                    <w:rPr>
                      <w:rStyle w:val="299"/>
                      <w:rFonts w:hint="eastAsia"/>
                    </w:rPr>
                    <w:t>是否符合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pct"/>
                  <w:vAlign w:val="center"/>
                </w:tcPr>
                <w:p>
                  <w:pPr>
                    <w:pStyle w:val="56"/>
                  </w:pPr>
                  <w:r>
                    <w:rPr>
                      <w:rFonts w:hint="eastAsia"/>
                    </w:rPr>
                    <w:t>生态保护红线及一般生态空间</w:t>
                  </w:r>
                </w:p>
              </w:tc>
              <w:tc>
                <w:tcPr>
                  <w:tcW w:w="3030" w:type="pct"/>
                  <w:vAlign w:val="center"/>
                </w:tcPr>
                <w:p>
                  <w:pPr>
                    <w:pStyle w:val="56"/>
                    <w:rPr>
                      <w:rStyle w:val="299"/>
                    </w:rPr>
                  </w:pPr>
                  <w:r>
                    <w:rPr>
                      <w:rFonts w:hint="eastAsia"/>
                    </w:rPr>
                    <w:t>根据土地证明项目所在位置土地属于</w:t>
                  </w:r>
                  <w:r>
                    <w:rPr>
                      <w:rFonts w:hint="eastAsia"/>
                      <w:lang w:eastAsia="zh-CN"/>
                    </w:rPr>
                    <w:t>工业用地</w:t>
                  </w:r>
                  <w:r>
                    <w:rPr>
                      <w:rStyle w:val="299"/>
                      <w:rFonts w:hint="eastAsia"/>
                    </w:rPr>
                    <w:t>，不在生态保护红线和生态环境空间管控区内，符合生态保护红线及一般生态空间要求。</w:t>
                  </w:r>
                </w:p>
              </w:tc>
              <w:tc>
                <w:tcPr>
                  <w:tcW w:w="926" w:type="pct"/>
                  <w:vAlign w:val="center"/>
                </w:tcPr>
                <w:p>
                  <w:pPr>
                    <w:pStyle w:val="56"/>
                    <w:rPr>
                      <w:rStyle w:val="299"/>
                    </w:rPr>
                  </w:pPr>
                  <w:r>
                    <w:rPr>
                      <w:rStyle w:val="299"/>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pct"/>
                  <w:vAlign w:val="center"/>
                </w:tcPr>
                <w:p>
                  <w:pPr>
                    <w:pStyle w:val="56"/>
                  </w:pPr>
                  <w:r>
                    <w:rPr>
                      <w:rFonts w:hint="eastAsia"/>
                    </w:rPr>
                    <w:t>环境质量底线</w:t>
                  </w:r>
                </w:p>
              </w:tc>
              <w:tc>
                <w:tcPr>
                  <w:tcW w:w="3030" w:type="pct"/>
                  <w:vAlign w:val="center"/>
                </w:tcPr>
                <w:p>
                  <w:pPr>
                    <w:pStyle w:val="56"/>
                  </w:pPr>
                  <w:r>
                    <w:rPr>
                      <w:rFonts w:hint="eastAsia"/>
                    </w:rPr>
                    <w:t>①本项目运营期产生的废水为</w:t>
                  </w:r>
                  <w:r>
                    <w:rPr>
                      <w:rFonts w:hint="eastAsia"/>
                      <w:lang w:eastAsia="zh-CN"/>
                    </w:rPr>
                    <w:t>检验</w:t>
                  </w:r>
                  <w:r>
                    <w:rPr>
                      <w:rFonts w:hint="eastAsia"/>
                    </w:rPr>
                    <w:t>废水与生活污水，经过预处理后经自建污水处理站处理后排入茂名</w:t>
                  </w:r>
                  <w:r>
                    <w:rPr>
                      <w:rFonts w:hint="eastAsia"/>
                      <w:lang w:eastAsia="zh-CN"/>
                    </w:rPr>
                    <w:t>高新技术产业开发区污水处理厂</w:t>
                  </w:r>
                  <w:r>
                    <w:rPr>
                      <w:rFonts w:hint="eastAsia"/>
                    </w:rPr>
                    <w:t>进行处理后达标排放。运营期废气主要为污水处理站污水处理过程中产生的氨、硫化氢及</w:t>
                  </w:r>
                  <w:r>
                    <w:rPr>
                      <w:rFonts w:hint="eastAsia"/>
                      <w:lang w:eastAsia="zh-CN"/>
                    </w:rPr>
                    <w:t>臭气</w:t>
                  </w:r>
                  <w:r>
                    <w:rPr>
                      <w:rFonts w:hint="eastAsia"/>
                    </w:rPr>
                    <w:t>浓度，</w:t>
                  </w:r>
                  <w:r>
                    <w:rPr>
                      <w:rFonts w:hint="eastAsia"/>
                      <w:lang w:eastAsia="zh-CN"/>
                    </w:rPr>
                    <w:t>检验过程中试剂挥发产生的挥发性有机物废气</w:t>
                  </w:r>
                  <w:r>
                    <w:rPr>
                      <w:rFonts w:hint="eastAsia"/>
                    </w:rPr>
                    <w:t>。</w:t>
                  </w:r>
                </w:p>
                <w:p>
                  <w:pPr>
                    <w:pStyle w:val="56"/>
                    <w:rPr>
                      <w:rStyle w:val="299"/>
                    </w:rPr>
                  </w:pPr>
                  <w:r>
                    <w:rPr>
                      <w:rFonts w:hint="eastAsia"/>
                    </w:rPr>
                    <w:t>②本项目位于环境空气功能区二类区，根据《茂名市202</w:t>
                  </w:r>
                  <w:r>
                    <w:t>1</w:t>
                  </w:r>
                  <w:r>
                    <w:rPr>
                      <w:rFonts w:hint="eastAsia"/>
                    </w:rPr>
                    <w:t>年生态环境质量报告》，项目所在区域环境空气为达标区。本项目的建设对周边环境影响较小，建成后不会突破当地环境质量底线，符合环境质量底线要求。</w:t>
                  </w:r>
                </w:p>
              </w:tc>
              <w:tc>
                <w:tcPr>
                  <w:tcW w:w="926" w:type="pct"/>
                  <w:vAlign w:val="center"/>
                </w:tcPr>
                <w:p>
                  <w:pPr>
                    <w:pStyle w:val="56"/>
                    <w:rPr>
                      <w:rStyle w:val="299"/>
                    </w:rPr>
                  </w:pPr>
                  <w:r>
                    <w:rPr>
                      <w:rStyle w:val="299"/>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pct"/>
                  <w:vAlign w:val="center"/>
                </w:tcPr>
                <w:p>
                  <w:pPr>
                    <w:pStyle w:val="56"/>
                  </w:pPr>
                  <w:r>
                    <w:rPr>
                      <w:rFonts w:hint="eastAsia"/>
                    </w:rPr>
                    <w:t>资源利用上线</w:t>
                  </w:r>
                </w:p>
              </w:tc>
              <w:tc>
                <w:tcPr>
                  <w:tcW w:w="3030" w:type="pct"/>
                  <w:vAlign w:val="center"/>
                </w:tcPr>
                <w:p>
                  <w:pPr>
                    <w:pStyle w:val="56"/>
                    <w:rPr>
                      <w:rStyle w:val="299"/>
                    </w:rPr>
                  </w:pPr>
                  <w:r>
                    <w:rPr>
                      <w:rFonts w:hint="eastAsia"/>
                    </w:rPr>
                    <w:t>本项目为</w:t>
                  </w:r>
                  <w:r>
                    <w:rPr>
                      <w:rFonts w:hint="eastAsia"/>
                      <w:lang w:eastAsia="zh-CN"/>
                    </w:rPr>
                    <w:t>医学检验室</w:t>
                  </w:r>
                  <w:r>
                    <w:rPr>
                      <w:rFonts w:hint="eastAsia"/>
                    </w:rPr>
                    <w:t>，运营期间消耗的资源主要为水资源及电力资源，均由市政供给，消耗量不会突破上限。</w:t>
                  </w:r>
                  <w:r>
                    <w:t>项目运营后通过内部管理、设备选择的选用管理和污染治理等多方面采取合理可行的防治措施，有效的控制污染</w:t>
                  </w:r>
                  <w:r>
                    <w:rPr>
                      <w:rFonts w:hint="eastAsia"/>
                    </w:rPr>
                    <w:t>，符合资源利用上线要求。</w:t>
                  </w:r>
                </w:p>
              </w:tc>
              <w:tc>
                <w:tcPr>
                  <w:tcW w:w="926" w:type="pct"/>
                  <w:vAlign w:val="center"/>
                </w:tcPr>
                <w:p>
                  <w:pPr>
                    <w:pStyle w:val="56"/>
                    <w:rPr>
                      <w:rStyle w:val="299"/>
                    </w:rPr>
                  </w:pPr>
                  <w:r>
                    <w:rPr>
                      <w:rStyle w:val="299"/>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pct"/>
                  <w:vAlign w:val="center"/>
                </w:tcPr>
                <w:p>
                  <w:pPr>
                    <w:pStyle w:val="56"/>
                  </w:pPr>
                  <w:r>
                    <w:rPr>
                      <w:rFonts w:hint="eastAsia"/>
                    </w:rPr>
                    <w:t>生态环境准入清单</w:t>
                  </w:r>
                </w:p>
              </w:tc>
              <w:tc>
                <w:tcPr>
                  <w:tcW w:w="3030" w:type="pct"/>
                  <w:vAlign w:val="center"/>
                </w:tcPr>
                <w:p>
                  <w:pPr>
                    <w:pStyle w:val="56"/>
                    <w:rPr>
                      <w:rStyle w:val="299"/>
                    </w:rPr>
                  </w:pPr>
                  <w:r>
                    <w:t>本项目符合国家和广东省产业政策，查阅《市场准入负面清单》</w:t>
                  </w:r>
                  <w:r>
                    <w:rPr>
                      <w:rFonts w:hint="eastAsia"/>
                    </w:rPr>
                    <w:t>（2</w:t>
                  </w:r>
                  <w:r>
                    <w:t>022</w:t>
                  </w:r>
                  <w:r>
                    <w:rPr>
                      <w:rFonts w:hint="eastAsia"/>
                    </w:rPr>
                    <w:t>年版本）</w:t>
                  </w:r>
                  <w:r>
                    <w:t>本项目不在其禁止准入类和限制准入类中，符合《市场准入负面清单》要求。</w:t>
                  </w:r>
                  <w:r>
                    <w:rPr>
                      <w:rFonts w:hint="eastAsia"/>
                    </w:rPr>
                    <w:t>根据《产业结构调整指导目录</w:t>
                  </w:r>
                  <w:r>
                    <w:rPr>
                      <w:rFonts w:hint="eastAsia"/>
                      <w:lang w:eastAsia="zh-CN"/>
                    </w:rPr>
                    <w:t>（</w:t>
                  </w:r>
                  <w:r>
                    <w:t>2019本</w:t>
                  </w:r>
                  <w:r>
                    <w:rPr>
                      <w:rFonts w:hint="eastAsia"/>
                      <w:lang w:eastAsia="zh-CN"/>
                    </w:rPr>
                    <w:t>）</w:t>
                  </w:r>
                  <w:r>
                    <w:rPr>
                      <w:rFonts w:hint="eastAsia"/>
                    </w:rPr>
                    <w:t>》（2021年修订）</w:t>
                  </w:r>
                  <w:r>
                    <w:rPr>
                      <w:rFonts w:hint="eastAsia"/>
                      <w:lang w:eastAsia="zh-CN"/>
                    </w:rPr>
                    <w:t>，</w:t>
                  </w:r>
                  <w:r>
                    <w:rPr>
                      <w:rFonts w:hint="eastAsia"/>
                    </w:rPr>
                    <w:t>可知本项目所使用设备以及工艺均不属于限制类及淘汰类。因此，本项目属于允许建设类项目，符合产业政策要求。</w:t>
                  </w:r>
                </w:p>
              </w:tc>
              <w:tc>
                <w:tcPr>
                  <w:tcW w:w="926" w:type="pct"/>
                  <w:vAlign w:val="center"/>
                </w:tcPr>
                <w:p>
                  <w:pPr>
                    <w:pStyle w:val="56"/>
                    <w:rPr>
                      <w:rStyle w:val="299"/>
                    </w:rPr>
                  </w:pPr>
                  <w:r>
                    <w:rPr>
                      <w:rStyle w:val="299"/>
                      <w:rFonts w:hint="eastAsia"/>
                    </w:rPr>
                    <w:t>符合</w:t>
                  </w:r>
                </w:p>
              </w:tc>
            </w:tr>
          </w:tbl>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项目与电白区中北部片区一般管控单元</w:t>
            </w:r>
            <w:r>
              <w:rPr>
                <w:rFonts w:hint="eastAsia"/>
                <w:lang w:eastAsia="zh-CN"/>
              </w:rPr>
              <w:t>相符性分析</w:t>
            </w:r>
          </w:p>
          <w:tbl>
            <w:tblPr>
              <w:tblStyle w:val="37"/>
              <w:tblW w:w="481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4664"/>
              <w:gridCol w:w="12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pPr>
                    <w:pStyle w:val="56"/>
                  </w:pPr>
                  <w:r>
                    <w:rPr>
                      <w:rFonts w:hint="eastAsia"/>
                    </w:rPr>
                    <w:t>管控维度</w:t>
                  </w:r>
                </w:p>
              </w:tc>
              <w:tc>
                <w:tcPr>
                  <w:tcW w:w="3176" w:type="pct"/>
                  <w:vAlign w:val="center"/>
                </w:tcPr>
                <w:p>
                  <w:pPr>
                    <w:pStyle w:val="56"/>
                  </w:pPr>
                  <w:r>
                    <w:rPr>
                      <w:rFonts w:hint="eastAsia"/>
                    </w:rPr>
                    <w:t>管控要求</w:t>
                  </w:r>
                </w:p>
              </w:tc>
              <w:tc>
                <w:tcPr>
                  <w:tcW w:w="846" w:type="pct"/>
                  <w:vAlign w:val="center"/>
                </w:tcPr>
                <w:p>
                  <w:pPr>
                    <w:pStyle w:val="56"/>
                  </w:pPr>
                  <w:r>
                    <w:rPr>
                      <w:rFonts w:hint="eastAsia"/>
                    </w:rPr>
                    <w:t>是否符合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pPr>
                    <w:pStyle w:val="56"/>
                  </w:pPr>
                  <w:r>
                    <w:rPr>
                      <w:rFonts w:hint="eastAsia"/>
                    </w:rPr>
                    <w:t>区域布局管控</w:t>
                  </w:r>
                </w:p>
              </w:tc>
              <w:tc>
                <w:tcPr>
                  <w:tcW w:w="3176" w:type="pct"/>
                  <w:vAlign w:val="center"/>
                </w:tcPr>
                <w:p>
                  <w:pPr>
                    <w:pStyle w:val="56"/>
                  </w:pPr>
                  <w:r>
                    <w:rPr>
                      <w:rFonts w:hint="eastAsia"/>
                    </w:rPr>
                    <w:t>1-1、【产业/鼓励引导类】开展标准化生产创建活动，打造一批果菜茶标准园、畜禽标准化示范场、水产健康养殖示范场等标准化示范点，建设各类标准化生产基地。</w:t>
                  </w:r>
                </w:p>
                <w:p>
                  <w:pPr>
                    <w:pStyle w:val="56"/>
                  </w:pPr>
                  <w:r>
                    <w:rPr>
                      <w:rFonts w:hint="eastAsia"/>
                    </w:rPr>
                    <w:t>1-2、【生态/禁止类】生态保护红线内，自然保护地核心保护区原则上禁止人为活动，其他区域严格禁止开发性、生产性建设活动，在符合现行法律法规前提下，除国家重大战略项目外，仅允许对生态功能不造成破坏的有限人为活动。</w:t>
                  </w:r>
                </w:p>
                <w:p>
                  <w:pPr>
                    <w:pStyle w:val="56"/>
                  </w:pPr>
                  <w:r>
                    <w:rPr>
                      <w:rFonts w:hint="eastAsia"/>
                    </w:rPr>
                    <w:t>1-3、【生态/综合类】一般生态空间内，可开展生态保护红线内允许的活动；在不影响主导生态功能的前提下，还可开展国家和省规定不纳入环评管理的项目建设，以及生态旅游、畜禽养殖、基础设施建设、村庄建设等人为活动。</w:t>
                  </w:r>
                </w:p>
                <w:p>
                  <w:pPr>
                    <w:pStyle w:val="56"/>
                  </w:pPr>
                  <w:r>
                    <w:rPr>
                      <w:rFonts w:hint="eastAsia"/>
                    </w:rPr>
                    <w:t>1-4、【大气/禁止类】大气环境优先保护区内，禁止新建、扩建大气污染物排放工业项目。</w:t>
                  </w:r>
                </w:p>
                <w:p>
                  <w:pPr>
                    <w:pStyle w:val="56"/>
                  </w:pPr>
                  <w:r>
                    <w:rPr>
                      <w:rFonts w:hint="eastAsia"/>
                    </w:rPr>
                    <w:t>1-5、【大气/限制类】大气环境布局敏感重点管控区范围内严格限制新建使用高挥发性有机物原辅材料项目，大力推进低VOCs含量原辅材料替代，全面加强无组织排放控制，实施VOCs重点企业分级管控，限制建设新建、扩建氮氧化物、烟（粉）尘排放较高的建设项目。</w:t>
                  </w:r>
                </w:p>
                <w:p>
                  <w:pPr>
                    <w:pStyle w:val="56"/>
                  </w:pPr>
                  <w:r>
                    <w:rPr>
                      <w:rFonts w:hint="eastAsia"/>
                    </w:rPr>
                    <w:t>1-6、【土壤/禁止类】建设用地污染风险重点管控区内禁止在居民区和学校、医院、疗养院、养老院等单位周边新建、改建、扩建可能造成土壤污染的建设项目。</w:t>
                  </w:r>
                </w:p>
                <w:p>
                  <w:pPr>
                    <w:pStyle w:val="56"/>
                  </w:pPr>
                  <w:r>
                    <w:rPr>
                      <w:rFonts w:hint="eastAsia"/>
                    </w:rPr>
                    <w:t>1-7、【矿产/限制类】矿产资源开采敏感区范围内仅允许因国家重大能源资源安全需要开展的战略性能源资源勘查，公益性自然资源调查和地质勘查。</w:t>
                  </w:r>
                </w:p>
                <w:p>
                  <w:pPr>
                    <w:pStyle w:val="56"/>
                  </w:pPr>
                  <w:r>
                    <w:rPr>
                      <w:rFonts w:hint="eastAsia"/>
                    </w:rPr>
                    <w:t>1-8、【岸线/综合类】江河湖库岸线重点管控区内严格水域岸线用途管制，土地开发利用应按照有关法律法规和技术标准要求，留足河道、湖泊的管理和保护范围，非法挤占的应限期退出。</w:t>
                  </w:r>
                </w:p>
              </w:tc>
              <w:tc>
                <w:tcPr>
                  <w:tcW w:w="846" w:type="pct"/>
                  <w:vAlign w:val="center"/>
                </w:tcPr>
                <w:p>
                  <w:pPr>
                    <w:pStyle w:val="56"/>
                    <w:rPr>
                      <w:lang w:eastAsia="zh-CN"/>
                    </w:rPr>
                  </w:pPr>
                  <w:r>
                    <w:rPr>
                      <w:rFonts w:hint="eastAsia"/>
                      <w:lang w:eastAsia="zh-CN"/>
                    </w:rPr>
                    <w:t>1</w:t>
                  </w:r>
                  <w:r>
                    <w:rPr>
                      <w:lang w:eastAsia="zh-CN"/>
                    </w:rPr>
                    <w:t>-1</w:t>
                  </w:r>
                  <w:r>
                    <w:rPr>
                      <w:rFonts w:hint="eastAsia"/>
                      <w:lang w:eastAsia="zh-CN"/>
                    </w:rPr>
                    <w:t>、不涉及</w:t>
                  </w:r>
                </w:p>
                <w:p>
                  <w:pPr>
                    <w:pStyle w:val="56"/>
                    <w:rPr>
                      <w:lang w:eastAsia="zh-CN"/>
                    </w:rPr>
                  </w:pPr>
                  <w:r>
                    <w:rPr>
                      <w:rFonts w:hint="eastAsia"/>
                      <w:lang w:eastAsia="zh-CN"/>
                    </w:rPr>
                    <w:t>1</w:t>
                  </w:r>
                  <w:r>
                    <w:rPr>
                      <w:lang w:eastAsia="zh-CN"/>
                    </w:rPr>
                    <w:t>-2</w:t>
                  </w:r>
                  <w:r>
                    <w:rPr>
                      <w:rFonts w:hint="eastAsia"/>
                      <w:lang w:eastAsia="zh-CN"/>
                    </w:rPr>
                    <w:t>、1</w:t>
                  </w:r>
                  <w:r>
                    <w:rPr>
                      <w:lang w:eastAsia="zh-CN"/>
                    </w:rPr>
                    <w:t>-3</w:t>
                  </w:r>
                  <w:r>
                    <w:rPr>
                      <w:rFonts w:hint="eastAsia"/>
                      <w:lang w:eastAsia="zh-CN"/>
                    </w:rPr>
                    <w:t>、1</w:t>
                  </w:r>
                  <w:r>
                    <w:rPr>
                      <w:lang w:eastAsia="zh-CN"/>
                    </w:rPr>
                    <w:t>-4</w:t>
                  </w:r>
                  <w:r>
                    <w:rPr>
                      <w:rFonts w:hint="eastAsia"/>
                      <w:lang w:eastAsia="zh-CN"/>
                    </w:rPr>
                    <w:t>项目位于</w:t>
                  </w:r>
                  <w:r>
                    <w:rPr>
                      <w:rFonts w:hint="eastAsia"/>
                    </w:rPr>
                    <w:t>茂名高新区产业开发区恒基路99号大院</w:t>
                  </w:r>
                  <w:r>
                    <w:rPr>
                      <w:rFonts w:hint="eastAsia"/>
                      <w:lang w:eastAsia="zh-CN"/>
                    </w:rPr>
                    <w:t>，不属于生态保护红线、一般生态空间及大气优先保护区内</w:t>
                  </w:r>
                </w:p>
                <w:p>
                  <w:pPr>
                    <w:pStyle w:val="56"/>
                  </w:pPr>
                  <w:r>
                    <w:rPr>
                      <w:rFonts w:hint="eastAsia"/>
                      <w:lang w:eastAsia="zh-CN"/>
                    </w:rPr>
                    <w:t>1</w:t>
                  </w:r>
                  <w:r>
                    <w:rPr>
                      <w:lang w:eastAsia="zh-CN"/>
                    </w:rPr>
                    <w:t>-5</w:t>
                  </w:r>
                  <w:r>
                    <w:rPr>
                      <w:rFonts w:hint="eastAsia"/>
                      <w:lang w:eastAsia="zh-CN"/>
                    </w:rPr>
                    <w:t>项目使用检验室，只是检验实验使用少量挥发性试剂</w:t>
                  </w:r>
                </w:p>
                <w:p>
                  <w:pPr>
                    <w:pStyle w:val="56"/>
                    <w:rPr>
                      <w:lang w:eastAsia="zh-CN"/>
                    </w:rPr>
                  </w:pPr>
                  <w:r>
                    <w:rPr>
                      <w:rFonts w:hint="eastAsia"/>
                      <w:lang w:eastAsia="zh-CN"/>
                    </w:rPr>
                    <w:t>1</w:t>
                  </w:r>
                  <w:r>
                    <w:rPr>
                      <w:lang w:eastAsia="zh-CN"/>
                    </w:rPr>
                    <w:t>-6</w:t>
                  </w:r>
                  <w:r>
                    <w:rPr>
                      <w:rFonts w:hint="eastAsia"/>
                      <w:lang w:eastAsia="zh-CN"/>
                    </w:rPr>
                    <w:t>、1</w:t>
                  </w:r>
                  <w:r>
                    <w:rPr>
                      <w:lang w:eastAsia="zh-CN"/>
                    </w:rPr>
                    <w:t>-7</w:t>
                  </w:r>
                  <w:r>
                    <w:rPr>
                      <w:rFonts w:hint="eastAsia"/>
                      <w:lang w:eastAsia="zh-CN"/>
                    </w:rPr>
                    <w:t>、</w:t>
                  </w:r>
                  <w:r>
                    <w:rPr>
                      <w:lang w:eastAsia="zh-CN"/>
                    </w:rPr>
                    <w:t>1-8</w:t>
                  </w:r>
                  <w:r>
                    <w:rPr>
                      <w:rFonts w:hint="eastAsia"/>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pPr>
                    <w:pStyle w:val="56"/>
                  </w:pPr>
                  <w:r>
                    <w:rPr>
                      <w:rFonts w:hint="eastAsia"/>
                      <w:lang w:eastAsia="zh-CN"/>
                    </w:rPr>
                    <w:t>能源资源利用</w:t>
                  </w:r>
                </w:p>
              </w:tc>
              <w:tc>
                <w:tcPr>
                  <w:tcW w:w="3176" w:type="pct"/>
                  <w:vAlign w:val="center"/>
                </w:tcPr>
                <w:p>
                  <w:pPr>
                    <w:pStyle w:val="56"/>
                  </w:pPr>
                  <w:r>
                    <w:rPr>
                      <w:rFonts w:hint="eastAsia"/>
                    </w:rPr>
                    <w:t>2-1、【能源/禁止类】高污染燃料禁燃区内，禁止销售、燃用高污染燃料，禁止新建、扩建燃用高污染燃料的设施，禁止非专用锅炉或未配置高效除尘设施的专用锅炉燃用生物质成型燃料。</w:t>
                  </w:r>
                </w:p>
                <w:p>
                  <w:pPr>
                    <w:pStyle w:val="56"/>
                  </w:pPr>
                  <w:r>
                    <w:rPr>
                      <w:rFonts w:hint="eastAsia"/>
                    </w:rPr>
                    <w:t>2-2、【能源/限制类】高污染燃料禁燃区内，禁燃区内已建成的不符合国家、省要求的各类高污染燃料燃烧设施，要在国家、省要求的期限内拆除或改造使用清洁能源。</w:t>
                  </w:r>
                </w:p>
                <w:p>
                  <w:pPr>
                    <w:pStyle w:val="56"/>
                  </w:pPr>
                  <w:r>
                    <w:rPr>
                      <w:rFonts w:hint="eastAsia"/>
                    </w:rPr>
                    <w:t>2-3、【能源/综合类】科学实施能源消费总量和强度“双控”，新建高能耗项目单位产品（产值）能耗达到国内先进水平，减少煤炭使用量。</w:t>
                  </w:r>
                </w:p>
                <w:p>
                  <w:pPr>
                    <w:pStyle w:val="56"/>
                  </w:pPr>
                  <w:r>
                    <w:rPr>
                      <w:rFonts w:hint="eastAsia"/>
                    </w:rPr>
                    <w:t>2-4、【水资源/综合类】推进农业节水，提高农业用水效率。</w:t>
                  </w:r>
                </w:p>
                <w:p>
                  <w:pPr>
                    <w:pStyle w:val="56"/>
                  </w:pPr>
                  <w:r>
                    <w:rPr>
                      <w:rFonts w:hint="eastAsia"/>
                    </w:rPr>
                    <w:t>2-5、【土地资源/限制类】土地资源优先保护区内，落实单位土地面积投资强度、土地利用强度等建设用地控制性指标要求，提高土地利用效率。</w:t>
                  </w:r>
                </w:p>
              </w:tc>
              <w:tc>
                <w:tcPr>
                  <w:tcW w:w="846" w:type="pct"/>
                  <w:vAlign w:val="center"/>
                </w:tcPr>
                <w:p>
                  <w:pPr>
                    <w:pStyle w:val="56"/>
                    <w:rPr>
                      <w:lang w:eastAsia="zh-CN"/>
                    </w:rPr>
                  </w:pPr>
                  <w:r>
                    <w:rPr>
                      <w:rFonts w:hint="eastAsia"/>
                      <w:lang w:eastAsia="zh-CN"/>
                    </w:rPr>
                    <w:t>2</w:t>
                  </w:r>
                  <w:r>
                    <w:rPr>
                      <w:lang w:eastAsia="zh-CN"/>
                    </w:rPr>
                    <w:t>-1</w:t>
                  </w:r>
                  <w:r>
                    <w:rPr>
                      <w:rFonts w:hint="eastAsia"/>
                      <w:lang w:eastAsia="zh-CN"/>
                    </w:rPr>
                    <w:t>、2</w:t>
                  </w:r>
                  <w:r>
                    <w:rPr>
                      <w:lang w:eastAsia="zh-CN"/>
                    </w:rPr>
                    <w:t>-2</w:t>
                  </w:r>
                  <w:r>
                    <w:rPr>
                      <w:rFonts w:hint="eastAsia"/>
                      <w:lang w:eastAsia="zh-CN"/>
                    </w:rPr>
                    <w:t>项目属于检验室，不存在销售及使用高污染燃料的设施</w:t>
                  </w:r>
                </w:p>
                <w:p>
                  <w:pPr>
                    <w:pStyle w:val="56"/>
                    <w:rPr>
                      <w:lang w:eastAsia="zh-CN"/>
                    </w:rPr>
                  </w:pPr>
                  <w:r>
                    <w:rPr>
                      <w:rFonts w:hint="eastAsia"/>
                      <w:lang w:eastAsia="zh-CN"/>
                    </w:rPr>
                    <w:t>2</w:t>
                  </w:r>
                  <w:r>
                    <w:rPr>
                      <w:lang w:eastAsia="zh-CN"/>
                    </w:rPr>
                    <w:t>-3</w:t>
                  </w:r>
                  <w:r>
                    <w:rPr>
                      <w:rFonts w:hint="eastAsia"/>
                      <w:lang w:eastAsia="zh-CN"/>
                    </w:rPr>
                    <w:t>项目不属于高能耗项目</w:t>
                  </w:r>
                </w:p>
                <w:p>
                  <w:pPr>
                    <w:pStyle w:val="56"/>
                    <w:rPr>
                      <w:lang w:eastAsia="zh-CN"/>
                    </w:rPr>
                  </w:pPr>
                  <w:r>
                    <w:rPr>
                      <w:rFonts w:hint="eastAsia"/>
                      <w:lang w:eastAsia="zh-CN"/>
                    </w:rPr>
                    <w:t>2</w:t>
                  </w:r>
                  <w:r>
                    <w:rPr>
                      <w:lang w:eastAsia="zh-CN"/>
                    </w:rPr>
                    <w:t>-4</w:t>
                  </w:r>
                  <w:r>
                    <w:rPr>
                      <w:rFonts w:hint="eastAsia"/>
                      <w:lang w:eastAsia="zh-CN"/>
                    </w:rPr>
                    <w:t>、2</w:t>
                  </w:r>
                  <w:r>
                    <w:rPr>
                      <w:lang w:eastAsia="zh-CN"/>
                    </w:rPr>
                    <w:t>-5</w:t>
                  </w:r>
                  <w:r>
                    <w:rPr>
                      <w:rFonts w:hint="eastAsia"/>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pPr>
                    <w:pStyle w:val="56"/>
                  </w:pPr>
                  <w:r>
                    <w:rPr>
                      <w:rFonts w:hint="eastAsia"/>
                    </w:rPr>
                    <w:t>污染物排放管控</w:t>
                  </w:r>
                </w:p>
              </w:tc>
              <w:tc>
                <w:tcPr>
                  <w:tcW w:w="3176" w:type="pct"/>
                  <w:vAlign w:val="center"/>
                </w:tcPr>
                <w:p>
                  <w:pPr>
                    <w:pStyle w:val="56"/>
                  </w:pPr>
                  <w:r>
                    <w:rPr>
                      <w:rFonts w:hint="eastAsia"/>
                    </w:rPr>
                    <w:t>3-1、【水/限制类】单元内马踏镇、观珠镇、黄岭镇、林头镇、罗坑镇、麻岗镇、那霍镇、望夫镇、沙琅镇、霞洞镇、坡心镇等生活水质净化站及后续新建、改建和扩建城镇污水处理设施出水执行《城镇污水处理厂污染物排放标准》（GB18918-2002）一级Ａ标准及广东省地方标准《水污染物排放限值》（DB44/26-2001）的较严值。</w:t>
                  </w:r>
                </w:p>
                <w:p>
                  <w:pPr>
                    <w:pStyle w:val="56"/>
                  </w:pPr>
                  <w:r>
                    <w:rPr>
                      <w:rFonts w:hint="eastAsia"/>
                    </w:rPr>
                    <w:t>3-2、【水/综合类】单元内全面推进乡镇污水管网的建设，因地制宜实施农村生活废污水综合整治，实施乡镇（街道）污水处理设施全覆盖。到2025年，完成那霍镇、观珠镇、沙琅镇、霞洞镇、望夫镇、麻岗镇、马踏镇、坡心镇等配套管网的建设。</w:t>
                  </w:r>
                </w:p>
                <w:p>
                  <w:pPr>
                    <w:pStyle w:val="56"/>
                  </w:pPr>
                  <w:r>
                    <w:rPr>
                      <w:rFonts w:hint="eastAsia"/>
                    </w:rPr>
                    <w:t>3-3、【固废/鼓励引导类】推进区域生活垃圾处理设施建设，到2025年，区域生活垃圾无害化处理率达90%以上。</w:t>
                  </w:r>
                </w:p>
                <w:p>
                  <w:pPr>
                    <w:pStyle w:val="56"/>
                  </w:pPr>
                  <w:r>
                    <w:rPr>
                      <w:rFonts w:hint="eastAsia"/>
                    </w:rPr>
                    <w:t>3-4、【固废/综合类】持续推进农膜回收行动，以标准地膜应用、专业化回收、资源化利用为重点，健全回收网络体系，加快可降解农膜应用示范，着力解决农田“白色污染”问题。</w:t>
                  </w:r>
                </w:p>
                <w:p>
                  <w:pPr>
                    <w:pStyle w:val="56"/>
                  </w:pPr>
                  <w:r>
                    <w:rPr>
                      <w:rFonts w:hint="eastAsia"/>
                    </w:rPr>
                    <w:t>3-5、【其它/综合类】在种植业面源污染突出区域，实施化肥农药减量增效行动，优化生产布局，推进“源头减量-循环利用-过程拦截-末端治理”工程，深入实施秸秆综合利用行动。</w:t>
                  </w:r>
                </w:p>
              </w:tc>
              <w:tc>
                <w:tcPr>
                  <w:tcW w:w="846" w:type="pct"/>
                  <w:vAlign w:val="center"/>
                </w:tcPr>
                <w:p>
                  <w:pPr>
                    <w:pStyle w:val="56"/>
                    <w:rPr>
                      <w:lang w:eastAsia="zh-CN"/>
                    </w:rPr>
                  </w:pPr>
                  <w:r>
                    <w:rPr>
                      <w:rFonts w:hint="eastAsia"/>
                      <w:lang w:eastAsia="zh-CN"/>
                    </w:rPr>
                    <w:t>3</w:t>
                  </w:r>
                  <w:r>
                    <w:rPr>
                      <w:lang w:eastAsia="zh-CN"/>
                    </w:rPr>
                    <w:t>-1</w:t>
                  </w:r>
                  <w:r>
                    <w:rPr>
                      <w:rFonts w:hint="eastAsia"/>
                      <w:lang w:eastAsia="zh-CN"/>
                    </w:rPr>
                    <w:t>、3</w:t>
                  </w:r>
                  <w:r>
                    <w:rPr>
                      <w:lang w:eastAsia="zh-CN"/>
                    </w:rPr>
                    <w:t>-2</w:t>
                  </w:r>
                  <w:r>
                    <w:rPr>
                      <w:rFonts w:hint="eastAsia"/>
                      <w:lang w:eastAsia="zh-CN"/>
                    </w:rPr>
                    <w:t>项目属于检验室，废水通过企业自建的污水处理站处理达标后排进污水处理厂处理，不涉及废水直排</w:t>
                  </w:r>
                </w:p>
                <w:p>
                  <w:pPr>
                    <w:pStyle w:val="56"/>
                    <w:rPr>
                      <w:lang w:eastAsia="zh-CN"/>
                    </w:rPr>
                  </w:pPr>
                  <w:r>
                    <w:rPr>
                      <w:rFonts w:hint="eastAsia"/>
                      <w:lang w:eastAsia="zh-CN"/>
                    </w:rPr>
                    <w:t>3</w:t>
                  </w:r>
                  <w:r>
                    <w:rPr>
                      <w:lang w:eastAsia="zh-CN"/>
                    </w:rPr>
                    <w:t>-3</w:t>
                  </w:r>
                  <w:r>
                    <w:rPr>
                      <w:rFonts w:hint="eastAsia"/>
                      <w:lang w:eastAsia="zh-CN"/>
                    </w:rPr>
                    <w:t>项目生活垃圾通过环卫部门回收处理</w:t>
                  </w:r>
                </w:p>
                <w:p>
                  <w:pPr>
                    <w:pStyle w:val="56"/>
                    <w:rPr>
                      <w:lang w:eastAsia="zh-CN"/>
                    </w:rPr>
                  </w:pPr>
                  <w:r>
                    <w:rPr>
                      <w:rFonts w:hint="eastAsia"/>
                      <w:lang w:eastAsia="zh-CN"/>
                    </w:rPr>
                    <w:t>3</w:t>
                  </w:r>
                  <w:r>
                    <w:rPr>
                      <w:lang w:eastAsia="zh-CN"/>
                    </w:rPr>
                    <w:t>-4</w:t>
                  </w:r>
                  <w:r>
                    <w:rPr>
                      <w:rFonts w:hint="eastAsia"/>
                      <w:lang w:eastAsia="zh-CN"/>
                    </w:rPr>
                    <w:t>、3</w:t>
                  </w:r>
                  <w:r>
                    <w:rPr>
                      <w:lang w:eastAsia="zh-CN"/>
                    </w:rPr>
                    <w:t>-5</w:t>
                  </w:r>
                  <w:r>
                    <w:rPr>
                      <w:rFonts w:hint="eastAsia"/>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pPr>
                    <w:pStyle w:val="56"/>
                  </w:pPr>
                  <w:r>
                    <w:rPr>
                      <w:rFonts w:hint="eastAsia"/>
                    </w:rPr>
                    <w:t>环境风险防控</w:t>
                  </w:r>
                </w:p>
              </w:tc>
              <w:tc>
                <w:tcPr>
                  <w:tcW w:w="3176" w:type="pct"/>
                  <w:vAlign w:val="center"/>
                </w:tcPr>
                <w:p>
                  <w:pPr>
                    <w:pStyle w:val="56"/>
                  </w:pPr>
                  <w:r>
                    <w:rPr>
                      <w:rFonts w:hint="eastAsia"/>
                    </w:rPr>
                    <w:t>4-1、【水/综合类】加强河角水库饮用水水源保护区、儒洞河水源保护区、霞洞镇水源保护区、羊角镇水源保护区、袂花镇饮用水水源保护区环境风险防控。</w:t>
                  </w:r>
                </w:p>
                <w:p>
                  <w:pPr>
                    <w:pStyle w:val="56"/>
                  </w:pPr>
                  <w:r>
                    <w:rPr>
                      <w:rFonts w:hint="eastAsia"/>
                    </w:rPr>
                    <w:t>4-2、【其他/综合类】监控评估农产品种植区及水产品集中养殖区风险，实施环境激素类化学品淘汰、限制、替代等措施。</w:t>
                  </w:r>
                </w:p>
              </w:tc>
              <w:tc>
                <w:tcPr>
                  <w:tcW w:w="846" w:type="pct"/>
                  <w:vAlign w:val="center"/>
                </w:tcPr>
                <w:p>
                  <w:pPr>
                    <w:pStyle w:val="56"/>
                    <w:rPr>
                      <w:lang w:eastAsia="zh-CN"/>
                    </w:rPr>
                  </w:pPr>
                  <w:r>
                    <w:rPr>
                      <w:rFonts w:hint="eastAsia"/>
                      <w:lang w:eastAsia="zh-CN"/>
                    </w:rPr>
                    <w:t>4</w:t>
                  </w:r>
                  <w:r>
                    <w:rPr>
                      <w:lang w:eastAsia="zh-CN"/>
                    </w:rPr>
                    <w:t>-1</w:t>
                  </w:r>
                  <w:r>
                    <w:rPr>
                      <w:rFonts w:hint="eastAsia"/>
                      <w:lang w:eastAsia="zh-CN"/>
                    </w:rPr>
                    <w:t>、4</w:t>
                  </w:r>
                  <w:r>
                    <w:rPr>
                      <w:lang w:eastAsia="zh-CN"/>
                    </w:rPr>
                    <w:t>-2</w:t>
                  </w:r>
                  <w:r>
                    <w:rPr>
                      <w:rFonts w:hint="eastAsia"/>
                      <w:lang w:eastAsia="zh-CN"/>
                    </w:rPr>
                    <w:t>不涉及</w:t>
                  </w:r>
                </w:p>
              </w:tc>
            </w:tr>
          </w:tbl>
          <w:p>
            <w:pPr>
              <w:pStyle w:val="3"/>
            </w:pPr>
            <w:bookmarkStart w:id="18" w:name="_Toc121147712"/>
            <w:bookmarkStart w:id="19" w:name="_Toc122338479"/>
            <w:bookmarkStart w:id="20" w:name="_Toc120889788"/>
            <w:r>
              <w:rPr>
                <w:rFonts w:hint="eastAsia"/>
              </w:rPr>
              <w:t>与《广东省“三线一单”生态环境分区管控方案》（粤府〔2020〕71号）相符性分析</w:t>
            </w:r>
            <w:bookmarkEnd w:id="18"/>
            <w:bookmarkEnd w:id="19"/>
          </w:p>
          <w:p>
            <w:pPr>
              <w:ind w:firstLine="480"/>
              <w:rPr>
                <w:lang w:val="zh-CN" w:eastAsia="zh-CN"/>
              </w:rPr>
            </w:pPr>
            <w:r>
              <w:rPr>
                <w:rFonts w:hint="eastAsia"/>
                <w:lang w:val="zh-CN" w:eastAsia="zh-CN"/>
              </w:rPr>
              <w:t>根据《广东省“三线一单”生态环境分区管控方案》（粤府〔2020〕71号），项目所在管控单元属于重点管控单元，根据下表分析，本项目与广东省“三线一单”生态环境分区管控方案的规定相符。</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项目与粤府〔2020〕71号“三线一单”相符性分析</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2"/>
              <w:gridCol w:w="3361"/>
              <w:gridCol w:w="2790"/>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93" w:type="pct"/>
                  <w:gridSpan w:val="2"/>
                  <w:tcMar>
                    <w:top w:w="23" w:type="dxa"/>
                    <w:left w:w="108" w:type="dxa"/>
                    <w:bottom w:w="23" w:type="dxa"/>
                    <w:right w:w="108" w:type="dxa"/>
                  </w:tcMar>
                  <w:vAlign w:val="center"/>
                </w:tcPr>
                <w:p>
                  <w:pPr>
                    <w:pStyle w:val="56"/>
                  </w:pPr>
                  <w:r>
                    <w:t>粤府〔2020〕71号内容</w:t>
                  </w:r>
                </w:p>
              </w:tc>
              <w:tc>
                <w:tcPr>
                  <w:tcW w:w="1831" w:type="pct"/>
                  <w:tcMar>
                    <w:top w:w="23" w:type="dxa"/>
                    <w:left w:w="108" w:type="dxa"/>
                    <w:bottom w:w="23" w:type="dxa"/>
                    <w:right w:w="108" w:type="dxa"/>
                  </w:tcMar>
                  <w:vAlign w:val="center"/>
                </w:tcPr>
                <w:p>
                  <w:pPr>
                    <w:pStyle w:val="56"/>
                  </w:pPr>
                  <w:r>
                    <w:t>相符性分析</w:t>
                  </w:r>
                </w:p>
              </w:tc>
              <w:tc>
                <w:tcPr>
                  <w:tcW w:w="476" w:type="pct"/>
                  <w:tcMar>
                    <w:top w:w="23" w:type="dxa"/>
                    <w:left w:w="108" w:type="dxa"/>
                    <w:bottom w:w="23" w:type="dxa"/>
                    <w:right w:w="108" w:type="dxa"/>
                  </w:tcMar>
                  <w:vAlign w:val="center"/>
                </w:tcPr>
                <w:p>
                  <w:pPr>
                    <w:pStyle w:val="56"/>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7" w:type="pct"/>
                  <w:tcMar>
                    <w:top w:w="23" w:type="dxa"/>
                    <w:left w:w="108" w:type="dxa"/>
                    <w:bottom w:w="23" w:type="dxa"/>
                    <w:right w:w="108" w:type="dxa"/>
                  </w:tcMar>
                  <w:vAlign w:val="center"/>
                </w:tcPr>
                <w:p>
                  <w:pPr>
                    <w:pStyle w:val="56"/>
                  </w:pPr>
                  <w:r>
                    <w:t>生态保护红线</w:t>
                  </w:r>
                </w:p>
              </w:tc>
              <w:tc>
                <w:tcPr>
                  <w:tcW w:w="2206" w:type="pct"/>
                  <w:tcMar>
                    <w:top w:w="23" w:type="dxa"/>
                    <w:left w:w="108" w:type="dxa"/>
                    <w:bottom w:w="23" w:type="dxa"/>
                    <w:right w:w="108" w:type="dxa"/>
                  </w:tcMar>
                  <w:vAlign w:val="center"/>
                </w:tcPr>
                <w:p>
                  <w:pPr>
                    <w:pStyle w:val="56"/>
                    <w:rPr>
                      <w:szCs w:val="21"/>
                    </w:rPr>
                  </w:pPr>
                  <w:r>
                    <w:rPr>
                      <w:szCs w:val="21"/>
                    </w:rPr>
                    <w:t>全省陆域生态保护红线面积36194.35平方公里，占全省陆域国土面积20.13%；一般生态空间面积27741.66平方公里，占全省陆域国土面积的15.44%。全省海洋生态保护红线面积16490.59平方公里，占全省管辖海域面积的25.49%。</w:t>
                  </w:r>
                </w:p>
              </w:tc>
              <w:tc>
                <w:tcPr>
                  <w:tcW w:w="1831" w:type="pct"/>
                  <w:tcMar>
                    <w:top w:w="23" w:type="dxa"/>
                    <w:left w:w="108" w:type="dxa"/>
                    <w:bottom w:w="23" w:type="dxa"/>
                    <w:right w:w="108" w:type="dxa"/>
                  </w:tcMar>
                  <w:vAlign w:val="center"/>
                </w:tcPr>
                <w:p>
                  <w:pPr>
                    <w:pStyle w:val="56"/>
                    <w:rPr>
                      <w:szCs w:val="21"/>
                    </w:rPr>
                  </w:pPr>
                  <w:r>
                    <w:rPr>
                      <w:szCs w:val="21"/>
                    </w:rPr>
                    <w:t>根据</w:t>
                  </w:r>
                  <w:r>
                    <w:rPr>
                      <w:rFonts w:hint="eastAsia"/>
                      <w:szCs w:val="21"/>
                      <w:lang w:eastAsia="zh-CN"/>
                    </w:rPr>
                    <w:t>广东省</w:t>
                  </w:r>
                  <w:r>
                    <w:rPr>
                      <w:szCs w:val="21"/>
                    </w:rPr>
                    <w:t>生态保护红线规划图（见附图6），本项目不属于生态红线保护区，与生态保护红线相符。</w:t>
                  </w:r>
                </w:p>
              </w:tc>
              <w:tc>
                <w:tcPr>
                  <w:tcW w:w="476" w:type="pct"/>
                  <w:tcMar>
                    <w:top w:w="23" w:type="dxa"/>
                    <w:left w:w="108" w:type="dxa"/>
                    <w:bottom w:w="23" w:type="dxa"/>
                    <w:right w:w="108" w:type="dxa"/>
                  </w:tcMar>
                  <w:vAlign w:val="center"/>
                </w:tcPr>
                <w:p>
                  <w:pPr>
                    <w:pStyle w:val="56"/>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7" w:type="pct"/>
                  <w:tcMar>
                    <w:top w:w="23" w:type="dxa"/>
                    <w:left w:w="108" w:type="dxa"/>
                    <w:bottom w:w="23" w:type="dxa"/>
                    <w:right w:w="108" w:type="dxa"/>
                  </w:tcMar>
                  <w:vAlign w:val="center"/>
                </w:tcPr>
                <w:p>
                  <w:pPr>
                    <w:pStyle w:val="56"/>
                  </w:pPr>
                  <w:r>
                    <w:t>环境质量底线</w:t>
                  </w:r>
                </w:p>
              </w:tc>
              <w:tc>
                <w:tcPr>
                  <w:tcW w:w="2206" w:type="pct"/>
                  <w:tcMar>
                    <w:top w:w="23" w:type="dxa"/>
                    <w:left w:w="108" w:type="dxa"/>
                    <w:bottom w:w="23" w:type="dxa"/>
                    <w:right w:w="108" w:type="dxa"/>
                  </w:tcMar>
                  <w:vAlign w:val="center"/>
                </w:tcPr>
                <w:p>
                  <w:pPr>
                    <w:pStyle w:val="56"/>
                    <w:rPr>
                      <w:szCs w:val="21"/>
                    </w:rPr>
                  </w:pPr>
                  <w:r>
                    <w:rPr>
                      <w:szCs w:val="21"/>
                    </w:rPr>
                    <w:t>全省水环境质量持续改善，国考、省考断面优良水质比例稳步提升，全面消除劣V类水体。大气环境质量继续领跑先行，PM</w:t>
                  </w:r>
                  <w:r>
                    <w:rPr>
                      <w:szCs w:val="21"/>
                      <w:vertAlign w:val="subscript"/>
                    </w:rPr>
                    <w:t>2.5</w:t>
                  </w:r>
                  <w:r>
                    <w:rPr>
                      <w:szCs w:val="21"/>
                    </w:rPr>
                    <w:t>年均浓度率先达到世界卫生组织过渡期二阶段目标值（25微克/立方米），臭氧污染得到有效遏制。土壤环境质量稳中向好，土壤环境风险得到管控。近岸海域水体质量稳步提升。</w:t>
                  </w:r>
                </w:p>
              </w:tc>
              <w:tc>
                <w:tcPr>
                  <w:tcW w:w="1831" w:type="pct"/>
                  <w:tcMar>
                    <w:top w:w="23" w:type="dxa"/>
                    <w:left w:w="108" w:type="dxa"/>
                    <w:bottom w:w="23" w:type="dxa"/>
                    <w:right w:w="108" w:type="dxa"/>
                  </w:tcMar>
                  <w:vAlign w:val="center"/>
                </w:tcPr>
                <w:p>
                  <w:pPr>
                    <w:pStyle w:val="56"/>
                    <w:rPr>
                      <w:szCs w:val="21"/>
                    </w:rPr>
                  </w:pPr>
                  <w:r>
                    <w:rPr>
                      <w:rFonts w:hint="eastAsia" w:ascii="宋体" w:hAnsi="宋体" w:cs="宋体"/>
                      <w:szCs w:val="21"/>
                    </w:rPr>
                    <w:t>①</w:t>
                  </w:r>
                  <w:r>
                    <w:rPr>
                      <w:szCs w:val="21"/>
                    </w:rPr>
                    <w:t>根据《</w:t>
                  </w:r>
                  <w:r>
                    <w:rPr>
                      <w:rFonts w:hint="eastAsia"/>
                      <w:szCs w:val="21"/>
                    </w:rPr>
                    <w:t>茂名市生态环境质量年报简报（2021年）</w:t>
                  </w:r>
                  <w:r>
                    <w:rPr>
                      <w:szCs w:val="21"/>
                    </w:rPr>
                    <w:t>》</w:t>
                  </w:r>
                  <w:r>
                    <w:rPr>
                      <w:rFonts w:hint="eastAsia"/>
                      <w:szCs w:val="21"/>
                    </w:rPr>
                    <w:t>，</w:t>
                  </w:r>
                  <w:r>
                    <w:rPr>
                      <w:szCs w:val="21"/>
                    </w:rPr>
                    <w:t>项目所在</w:t>
                  </w:r>
                  <w:r>
                    <w:rPr>
                      <w:rFonts w:hint="eastAsia"/>
                      <w:szCs w:val="21"/>
                      <w:lang w:eastAsia="zh-CN"/>
                    </w:rPr>
                    <w:t>地二氧化硫、氮氧化物均低于《环境空气质量标准》（GB3095-2012）中一级标准限值，PM10、PM</w:t>
                  </w:r>
                  <w:r>
                    <w:rPr>
                      <w:szCs w:val="21"/>
                      <w:lang w:eastAsia="zh-CN"/>
                    </w:rPr>
                    <w:t>2.5</w:t>
                  </w:r>
                  <w:r>
                    <w:rPr>
                      <w:rFonts w:hint="eastAsia"/>
                      <w:szCs w:val="21"/>
                      <w:lang w:eastAsia="zh-CN"/>
                    </w:rPr>
                    <w:t>、O</w:t>
                  </w:r>
                  <w:r>
                    <w:rPr>
                      <w:szCs w:val="21"/>
                      <w:lang w:eastAsia="zh-CN"/>
                    </w:rPr>
                    <w:t>3</w:t>
                  </w:r>
                  <w:r>
                    <w:rPr>
                      <w:rFonts w:hint="eastAsia"/>
                      <w:szCs w:val="21"/>
                      <w:lang w:eastAsia="zh-CN"/>
                    </w:rPr>
                    <w:t>均低于《环境空气质量标准》（GB3095-2012）中二级标准限值，空气质量优良率98.9%。</w:t>
                  </w:r>
                </w:p>
                <w:p>
                  <w:pPr>
                    <w:pStyle w:val="56"/>
                    <w:rPr>
                      <w:szCs w:val="21"/>
                    </w:rPr>
                  </w:pPr>
                  <w:r>
                    <w:rPr>
                      <w:rFonts w:hint="eastAsia" w:ascii="宋体" w:hAnsi="宋体" w:cs="宋体"/>
                      <w:szCs w:val="21"/>
                    </w:rPr>
                    <w:t>②</w:t>
                  </w:r>
                  <w:r>
                    <w:rPr>
                      <w:rFonts w:hint="eastAsia" w:ascii="宋体" w:hAnsi="宋体" w:cs="宋体"/>
                      <w:szCs w:val="21"/>
                      <w:lang w:eastAsia="zh-CN"/>
                    </w:rPr>
                    <w:t>项目纳污水体为澳内海，</w:t>
                  </w:r>
                  <w:r>
                    <w:rPr>
                      <w:rFonts w:hint="eastAsia"/>
                      <w:szCs w:val="21"/>
                    </w:rPr>
                    <w:t>澳内海排污功能区执行《海水水质标准》(GB3097-1997)第三类标准，根据近岸海域点位监测结果可知，各监测因子均达到《海水水质标准》(GB3097-1997)第三类标准要求</w:t>
                  </w:r>
                  <w:r>
                    <w:rPr>
                      <w:szCs w:val="21"/>
                    </w:rPr>
                    <w:t>。</w:t>
                  </w:r>
                </w:p>
                <w:p>
                  <w:pPr>
                    <w:pStyle w:val="56"/>
                    <w:rPr>
                      <w:szCs w:val="21"/>
                    </w:rPr>
                  </w:pPr>
                  <w:r>
                    <w:rPr>
                      <w:rFonts w:hint="eastAsia" w:ascii="宋体" w:hAnsi="宋体" w:cs="宋体"/>
                      <w:szCs w:val="21"/>
                    </w:rPr>
                    <w:t>③</w:t>
                  </w:r>
                  <w:r>
                    <w:rPr>
                      <w:szCs w:val="21"/>
                    </w:rPr>
                    <w:t>根据</w:t>
                  </w:r>
                  <w:r>
                    <w:rPr>
                      <w:rFonts w:hint="eastAsia"/>
                      <w:szCs w:val="21"/>
                    </w:rPr>
                    <w:t>声环境质量</w:t>
                  </w:r>
                  <w:r>
                    <w:rPr>
                      <w:szCs w:val="21"/>
                    </w:rPr>
                    <w:t>监测结果，</w:t>
                  </w:r>
                  <w:r>
                    <w:rPr>
                      <w:rFonts w:hint="eastAsia"/>
                      <w:szCs w:val="21"/>
                    </w:rPr>
                    <w:t>本项目</w:t>
                  </w:r>
                  <w:r>
                    <w:rPr>
                      <w:szCs w:val="21"/>
                    </w:rPr>
                    <w:t>周边声环境均能达到《声环境质量标准》（GB3096－2008）中相应标准，表明项目周边声环境质量现状良好。同时本项目严格执行环境保护及管理措施，产生的废气、废水、噪声、固废均可做到达标排放或者有效处置，不会降低区域环境质量功能等级。</w:t>
                  </w:r>
                </w:p>
              </w:tc>
              <w:tc>
                <w:tcPr>
                  <w:tcW w:w="476" w:type="pct"/>
                  <w:tcMar>
                    <w:top w:w="23" w:type="dxa"/>
                    <w:left w:w="108" w:type="dxa"/>
                    <w:bottom w:w="23" w:type="dxa"/>
                    <w:right w:w="108" w:type="dxa"/>
                  </w:tcMar>
                  <w:vAlign w:val="center"/>
                </w:tcPr>
                <w:p>
                  <w:pPr>
                    <w:pStyle w:val="56"/>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7" w:type="pct"/>
                  <w:tcMar>
                    <w:top w:w="23" w:type="dxa"/>
                    <w:left w:w="108" w:type="dxa"/>
                    <w:bottom w:w="23" w:type="dxa"/>
                    <w:right w:w="108" w:type="dxa"/>
                  </w:tcMar>
                  <w:vAlign w:val="center"/>
                </w:tcPr>
                <w:p>
                  <w:pPr>
                    <w:pStyle w:val="56"/>
                  </w:pPr>
                  <w:r>
                    <w:t>资源</w:t>
                  </w:r>
                </w:p>
                <w:p>
                  <w:pPr>
                    <w:pStyle w:val="56"/>
                  </w:pPr>
                  <w:r>
                    <w:t>利用</w:t>
                  </w:r>
                </w:p>
                <w:p>
                  <w:pPr>
                    <w:pStyle w:val="56"/>
                  </w:pPr>
                  <w:r>
                    <w:t>上线</w:t>
                  </w:r>
                </w:p>
              </w:tc>
              <w:tc>
                <w:tcPr>
                  <w:tcW w:w="2206" w:type="pct"/>
                  <w:tcMar>
                    <w:top w:w="23" w:type="dxa"/>
                    <w:left w:w="108" w:type="dxa"/>
                    <w:bottom w:w="23" w:type="dxa"/>
                    <w:right w:w="108" w:type="dxa"/>
                  </w:tcMar>
                  <w:vAlign w:val="center"/>
                </w:tcPr>
                <w:p>
                  <w:pPr>
                    <w:pStyle w:val="56"/>
                    <w:rPr>
                      <w:szCs w:val="21"/>
                    </w:rPr>
                  </w:pPr>
                  <w:r>
                    <w:rPr>
                      <w:szCs w:val="21"/>
                    </w:rPr>
                    <w:t>强化节约集约利用，持续提升资源能源利用效率，水资源、土地资源、岸线资源、能源消耗等达到或优于国家下达的总量和强度符合控制目标。</w:t>
                  </w:r>
                </w:p>
              </w:tc>
              <w:tc>
                <w:tcPr>
                  <w:tcW w:w="1831" w:type="pct"/>
                  <w:tcMar>
                    <w:top w:w="23" w:type="dxa"/>
                    <w:left w:w="108" w:type="dxa"/>
                    <w:bottom w:w="23" w:type="dxa"/>
                    <w:right w:w="108" w:type="dxa"/>
                  </w:tcMar>
                  <w:vAlign w:val="center"/>
                </w:tcPr>
                <w:p>
                  <w:pPr>
                    <w:pStyle w:val="56"/>
                    <w:rPr>
                      <w:szCs w:val="21"/>
                    </w:rPr>
                  </w:pPr>
                  <w:r>
                    <w:rPr>
                      <w:szCs w:val="21"/>
                    </w:rPr>
                    <w:t>本项目不属于高耗能、污染资源型企业，且本项目的水、电等资源利用不会突破区域上线。</w:t>
                  </w:r>
                </w:p>
              </w:tc>
              <w:tc>
                <w:tcPr>
                  <w:tcW w:w="476" w:type="pct"/>
                  <w:tcMar>
                    <w:top w:w="23" w:type="dxa"/>
                    <w:left w:w="108" w:type="dxa"/>
                    <w:bottom w:w="23" w:type="dxa"/>
                    <w:right w:w="108" w:type="dxa"/>
                  </w:tcMar>
                  <w:vAlign w:val="center"/>
                </w:tcPr>
                <w:p>
                  <w:pPr>
                    <w:pStyle w:val="56"/>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7" w:type="pct"/>
                  <w:tcMar>
                    <w:top w:w="23" w:type="dxa"/>
                    <w:left w:w="108" w:type="dxa"/>
                    <w:bottom w:w="23" w:type="dxa"/>
                    <w:right w:w="108" w:type="dxa"/>
                  </w:tcMar>
                  <w:vAlign w:val="center"/>
                </w:tcPr>
                <w:p>
                  <w:pPr>
                    <w:pStyle w:val="56"/>
                  </w:pPr>
                  <w:r>
                    <w:t>生态环境准入清单</w:t>
                  </w:r>
                </w:p>
              </w:tc>
              <w:tc>
                <w:tcPr>
                  <w:tcW w:w="2206" w:type="pct"/>
                  <w:tcMar>
                    <w:top w:w="23" w:type="dxa"/>
                    <w:left w:w="108" w:type="dxa"/>
                    <w:bottom w:w="23" w:type="dxa"/>
                    <w:right w:w="108" w:type="dxa"/>
                  </w:tcMar>
                  <w:vAlign w:val="center"/>
                </w:tcPr>
                <w:p>
                  <w:pPr>
                    <w:pStyle w:val="56"/>
                    <w:rPr>
                      <w:szCs w:val="21"/>
                    </w:rPr>
                  </w:pPr>
                  <w:r>
                    <w:rPr>
                      <w:szCs w:val="21"/>
                    </w:rPr>
                    <w:t>从区域布局管控、能源资源利用、污染物排放管控和环境风险防控等方面明确准入要求，建立“1+3+N”三级生态环境准入清单体系。“1”为全省总体管控要求，“3”为“一核一带一区”区域管控要求，“N”为1912个陆域环境管控单元和471个海域环境管控单元的管控要求。</w:t>
                  </w:r>
                </w:p>
              </w:tc>
              <w:tc>
                <w:tcPr>
                  <w:tcW w:w="1831" w:type="pct"/>
                  <w:tcMar>
                    <w:top w:w="23" w:type="dxa"/>
                    <w:left w:w="108" w:type="dxa"/>
                    <w:bottom w:w="23" w:type="dxa"/>
                    <w:right w:w="108" w:type="dxa"/>
                  </w:tcMar>
                  <w:vAlign w:val="center"/>
                </w:tcPr>
                <w:p>
                  <w:pPr>
                    <w:pStyle w:val="56"/>
                    <w:rPr>
                      <w:szCs w:val="21"/>
                    </w:rPr>
                  </w:pPr>
                  <w:r>
                    <w:rPr>
                      <w:szCs w:val="21"/>
                    </w:rPr>
                    <w:t>本项目不属于区域布局管控、能源资源利用、污染物排放管控和环境风险防控等方面明确禁止准入项目。</w:t>
                  </w:r>
                </w:p>
              </w:tc>
              <w:tc>
                <w:tcPr>
                  <w:tcW w:w="476" w:type="pct"/>
                  <w:tcMar>
                    <w:top w:w="23" w:type="dxa"/>
                    <w:left w:w="108" w:type="dxa"/>
                    <w:bottom w:w="23" w:type="dxa"/>
                    <w:right w:w="108" w:type="dxa"/>
                  </w:tcMar>
                  <w:vAlign w:val="center"/>
                </w:tcPr>
                <w:p>
                  <w:pPr>
                    <w:pStyle w:val="56"/>
                  </w:pPr>
                </w:p>
                <w:p>
                  <w:pPr>
                    <w:pStyle w:val="56"/>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7" w:type="pct"/>
                  <w:vMerge w:val="restart"/>
                  <w:tcMar>
                    <w:top w:w="23" w:type="dxa"/>
                    <w:left w:w="108" w:type="dxa"/>
                    <w:bottom w:w="23" w:type="dxa"/>
                    <w:right w:w="108" w:type="dxa"/>
                  </w:tcMar>
                  <w:vAlign w:val="center"/>
                </w:tcPr>
                <w:p>
                  <w:pPr>
                    <w:pStyle w:val="56"/>
                  </w:pPr>
                  <w:r>
                    <w:t>环境管控单元总体管控要求</w:t>
                  </w:r>
                </w:p>
              </w:tc>
              <w:tc>
                <w:tcPr>
                  <w:tcW w:w="2206" w:type="pct"/>
                  <w:tcMar>
                    <w:top w:w="23" w:type="dxa"/>
                    <w:left w:w="108" w:type="dxa"/>
                    <w:bottom w:w="23" w:type="dxa"/>
                    <w:right w:w="108" w:type="dxa"/>
                  </w:tcMar>
                  <w:vAlign w:val="center"/>
                </w:tcPr>
                <w:p>
                  <w:pPr>
                    <w:pStyle w:val="56"/>
                    <w:rPr>
                      <w:szCs w:val="21"/>
                    </w:rPr>
                  </w:pPr>
                  <w:r>
                    <w:rPr>
                      <w:szCs w:val="21"/>
                    </w:rPr>
                    <w:t>省级以上工业园区重点管控单元。依法开展园区规划环评，严格落实规划环评管理要求，开展环境质量跟踪监测，发布环境管理状况公告，制定并实施园区突发环境事件应急预案，定期开展环境安全隐患排查，提升风险防控及应急处置能力。周边1公里范围内涉及生态保护红线、自然保护地、饮用水水源地等生态环境敏感区域的园区，应优化产业布局，控制开发强度，优先引进无污染或轻污染的产业和项目，防止侵占生态空间。纳污水体水质超标的园区，应实施污水深度处理，新建、改建、扩建项目应实行重点污染物排放等量或减量替代。造纸、电镀、印染、鞣革等专业园区或基地应不断提升工艺水平，提高水回用率，逐步削减污染物排放总量；石化园区加快绿色智能升级改造，强化环保投入和管理，构建高效、清洁、低碳、循环的绿色制造体系。</w:t>
                  </w:r>
                </w:p>
              </w:tc>
              <w:tc>
                <w:tcPr>
                  <w:tcW w:w="1831" w:type="pct"/>
                  <w:tcMar>
                    <w:top w:w="23" w:type="dxa"/>
                    <w:left w:w="108" w:type="dxa"/>
                    <w:bottom w:w="23" w:type="dxa"/>
                    <w:right w:w="108" w:type="dxa"/>
                  </w:tcMar>
                  <w:vAlign w:val="center"/>
                </w:tcPr>
                <w:p>
                  <w:pPr>
                    <w:pStyle w:val="56"/>
                    <w:rPr>
                      <w:szCs w:val="21"/>
                    </w:rPr>
                  </w:pPr>
                  <w:r>
                    <w:rPr>
                      <w:szCs w:val="21"/>
                    </w:rPr>
                    <w:t>本项目不属于省级以上工业园区</w:t>
                  </w:r>
                </w:p>
              </w:tc>
              <w:tc>
                <w:tcPr>
                  <w:tcW w:w="476" w:type="pct"/>
                  <w:vMerge w:val="restart"/>
                  <w:tcMar>
                    <w:top w:w="23" w:type="dxa"/>
                    <w:left w:w="108" w:type="dxa"/>
                    <w:bottom w:w="23" w:type="dxa"/>
                    <w:right w:w="108" w:type="dxa"/>
                  </w:tcMar>
                  <w:vAlign w:val="center"/>
                </w:tcPr>
                <w:p>
                  <w:pPr>
                    <w:pStyle w:val="56"/>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7" w:type="pct"/>
                  <w:vMerge w:val="continue"/>
                  <w:tcMar>
                    <w:top w:w="23" w:type="dxa"/>
                    <w:left w:w="108" w:type="dxa"/>
                    <w:bottom w:w="23" w:type="dxa"/>
                    <w:right w:w="108" w:type="dxa"/>
                  </w:tcMar>
                  <w:vAlign w:val="center"/>
                </w:tcPr>
                <w:p>
                  <w:pPr>
                    <w:pStyle w:val="56"/>
                  </w:pPr>
                </w:p>
              </w:tc>
              <w:tc>
                <w:tcPr>
                  <w:tcW w:w="2206" w:type="pct"/>
                  <w:tcMar>
                    <w:top w:w="23" w:type="dxa"/>
                    <w:left w:w="108" w:type="dxa"/>
                    <w:bottom w:w="23" w:type="dxa"/>
                    <w:right w:w="108" w:type="dxa"/>
                  </w:tcMar>
                  <w:vAlign w:val="center"/>
                </w:tcPr>
                <w:p>
                  <w:pPr>
                    <w:pStyle w:val="56"/>
                    <w:rPr>
                      <w:szCs w:val="21"/>
                    </w:rPr>
                  </w:pPr>
                  <w:r>
                    <w:rPr>
                      <w:szCs w:val="21"/>
                    </w:rPr>
                    <w:t>水环境质量超标类重点管控单元。加强山水林田湖草系统治理，开展江河、湖泊、水库、湿地保护与修复，提升流域生态环境承载力。严格控制耗水量大、污染物排放强度高的行业发展，新建、改建、扩建项目实施重点水污染物减量替代。以城镇生活污染为主的单元，加快推进城镇生活污水有效收集处理，重点完善污水处理设施配套管网建设，加快实施雨污分流改造，推动提升污水处理设施进水水量和浓度，充分发挥污水处理设施治污效能。以农业污染为主的单元，大力推进畜禽养殖生态化转型及水产养殖业绿色发展，实施种植业“肥药双控”，加强畜禽养殖废弃物资源化利用，加快规模化畜禽养殖场粪便污水贮存、处理与利用配套设施建设，强化水产养殖尾水治理。</w:t>
                  </w:r>
                </w:p>
              </w:tc>
              <w:tc>
                <w:tcPr>
                  <w:tcW w:w="1831" w:type="pct"/>
                  <w:tcMar>
                    <w:top w:w="23" w:type="dxa"/>
                    <w:left w:w="108" w:type="dxa"/>
                    <w:bottom w:w="23" w:type="dxa"/>
                    <w:right w:w="108" w:type="dxa"/>
                  </w:tcMar>
                  <w:vAlign w:val="center"/>
                </w:tcPr>
                <w:p>
                  <w:pPr>
                    <w:pStyle w:val="56"/>
                    <w:rPr>
                      <w:szCs w:val="21"/>
                    </w:rPr>
                  </w:pPr>
                  <w:r>
                    <w:rPr>
                      <w:szCs w:val="21"/>
                    </w:rPr>
                    <w:t>本项目位于以城镇生活污染为主的单元，不属于耗水量大、污染物排放强度高的行业；</w:t>
                  </w:r>
                  <w:r>
                    <w:rPr>
                      <w:rFonts w:hint="eastAsia"/>
                      <w:szCs w:val="21"/>
                    </w:rPr>
                    <w:t>本项目生活污水</w:t>
                  </w:r>
                  <w:r>
                    <w:rPr>
                      <w:rFonts w:hint="eastAsia"/>
                      <w:szCs w:val="21"/>
                      <w:lang w:eastAsia="zh-CN"/>
                    </w:rPr>
                    <w:t>及实验废水通过企业自建污水处理站</w:t>
                  </w:r>
                  <w:r>
                    <w:rPr>
                      <w:rFonts w:hint="eastAsia"/>
                      <w:szCs w:val="21"/>
                    </w:rPr>
                    <w:t>处理达到</w:t>
                  </w:r>
                  <w:r>
                    <w:rPr>
                      <w:rFonts w:hint="eastAsia"/>
                    </w:rPr>
                    <w:t>《医疗机构水污染物排放标准》（GB18466-2005）表2预处理标准及茂名高新技术产业开发区污水处理厂进水指标较严值</w:t>
                  </w:r>
                  <w:r>
                    <w:rPr>
                      <w:rFonts w:hint="eastAsia"/>
                      <w:szCs w:val="21"/>
                    </w:rPr>
                    <w:t>后，经</w:t>
                  </w:r>
                  <w:r>
                    <w:rPr>
                      <w:rFonts w:hint="eastAsia"/>
                      <w:szCs w:val="21"/>
                      <w:lang w:eastAsia="zh-CN"/>
                    </w:rPr>
                    <w:t>园区</w:t>
                  </w:r>
                  <w:r>
                    <w:rPr>
                      <w:rFonts w:hint="eastAsia"/>
                      <w:szCs w:val="21"/>
                    </w:rPr>
                    <w:t>污水管网接入</w:t>
                  </w:r>
                  <w:r>
                    <w:rPr>
                      <w:rFonts w:hint="eastAsia"/>
                      <w:szCs w:val="21"/>
                      <w:lang w:eastAsia="zh-CN"/>
                    </w:rPr>
                    <w:t>茂名高新技术产业开发区污水处理厂</w:t>
                  </w:r>
                  <w:r>
                    <w:rPr>
                      <w:rFonts w:hint="eastAsia"/>
                      <w:szCs w:val="21"/>
                    </w:rPr>
                    <w:t>处理达标后排入</w:t>
                  </w:r>
                  <w:r>
                    <w:rPr>
                      <w:rFonts w:hint="eastAsia"/>
                      <w:szCs w:val="21"/>
                      <w:lang w:eastAsia="zh-CN"/>
                    </w:rPr>
                    <w:t>澳内海</w:t>
                  </w:r>
                </w:p>
              </w:tc>
              <w:tc>
                <w:tcPr>
                  <w:tcW w:w="476" w:type="pct"/>
                  <w:vMerge w:val="continue"/>
                  <w:tcMar>
                    <w:top w:w="23" w:type="dxa"/>
                    <w:left w:w="108" w:type="dxa"/>
                    <w:bottom w:w="23" w:type="dxa"/>
                    <w:right w:w="108" w:type="dxa"/>
                  </w:tcMar>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7" w:type="pct"/>
                  <w:vMerge w:val="continue"/>
                  <w:tcMar>
                    <w:top w:w="23" w:type="dxa"/>
                    <w:left w:w="108" w:type="dxa"/>
                    <w:bottom w:w="23" w:type="dxa"/>
                    <w:right w:w="108" w:type="dxa"/>
                  </w:tcMar>
                  <w:vAlign w:val="center"/>
                </w:tcPr>
                <w:p>
                  <w:pPr>
                    <w:pStyle w:val="56"/>
                  </w:pPr>
                </w:p>
              </w:tc>
              <w:tc>
                <w:tcPr>
                  <w:tcW w:w="2206" w:type="pct"/>
                  <w:tcMar>
                    <w:top w:w="23" w:type="dxa"/>
                    <w:left w:w="108" w:type="dxa"/>
                    <w:bottom w:w="23" w:type="dxa"/>
                    <w:right w:w="108" w:type="dxa"/>
                  </w:tcMar>
                  <w:vAlign w:val="center"/>
                </w:tcPr>
                <w:p>
                  <w:pPr>
                    <w:pStyle w:val="56"/>
                    <w:rPr>
                      <w:szCs w:val="21"/>
                    </w:rPr>
                  </w:pPr>
                  <w:r>
                    <w:rPr>
                      <w:szCs w:val="21"/>
                    </w:rPr>
                    <w:t>大气环境受体敏感类重点管控单元。严格限制新建钢铁、燃煤燃油火电、石化、储油库等项目，产生和排放有毒有害大气污染物项目，以及使用溶剂型油墨、涂料、清洗剂、胶黏剂等高挥发性有机物原辅材料的项目；鼓励现有该类项目逐步搬迁退出。</w:t>
                  </w:r>
                </w:p>
              </w:tc>
              <w:tc>
                <w:tcPr>
                  <w:tcW w:w="1831" w:type="pct"/>
                  <w:tcMar>
                    <w:top w:w="23" w:type="dxa"/>
                    <w:left w:w="108" w:type="dxa"/>
                    <w:bottom w:w="23" w:type="dxa"/>
                    <w:right w:w="108" w:type="dxa"/>
                  </w:tcMar>
                  <w:vAlign w:val="center"/>
                </w:tcPr>
                <w:p>
                  <w:pPr>
                    <w:pStyle w:val="56"/>
                    <w:rPr>
                      <w:szCs w:val="21"/>
                    </w:rPr>
                  </w:pPr>
                  <w:r>
                    <w:rPr>
                      <w:szCs w:val="21"/>
                    </w:rPr>
                    <w:t>本项目不属于钢铁、燃煤燃油火电、石化、储油库等限制项目，项目运营过程中不产生有毒有害大气污染物，项目不使用溶剂型油墨、涂料、清洗剂、胶黏剂等高挥发有机物原辅材料。</w:t>
                  </w:r>
                </w:p>
              </w:tc>
              <w:tc>
                <w:tcPr>
                  <w:tcW w:w="476" w:type="pct"/>
                  <w:tcMar>
                    <w:top w:w="23" w:type="dxa"/>
                    <w:left w:w="108" w:type="dxa"/>
                    <w:bottom w:w="23" w:type="dxa"/>
                    <w:right w:w="108" w:type="dxa"/>
                  </w:tcMar>
                  <w:vAlign w:val="center"/>
                </w:tcPr>
                <w:p>
                  <w:pPr>
                    <w:pStyle w:val="56"/>
                  </w:pPr>
                </w:p>
                <w:p>
                  <w:pPr>
                    <w:pStyle w:val="56"/>
                  </w:pPr>
                  <w:r>
                    <w:t>符合</w:t>
                  </w:r>
                </w:p>
              </w:tc>
            </w:tr>
          </w:tbl>
          <w:p>
            <w:pPr>
              <w:pStyle w:val="56"/>
            </w:pPr>
          </w:p>
          <w:p>
            <w:pPr>
              <w:pStyle w:val="3"/>
            </w:pPr>
            <w:bookmarkStart w:id="21" w:name="_Toc121147713"/>
            <w:bookmarkStart w:id="22" w:name="_Toc122338480"/>
            <w:r>
              <w:rPr>
                <w:rFonts w:hint="eastAsia"/>
                <w:lang w:eastAsia="zh-CN"/>
              </w:rPr>
              <w:t>《广东省生态环境保护“十四五”规划》相符性分析</w:t>
            </w:r>
            <w:bookmarkEnd w:id="20"/>
            <w:bookmarkEnd w:id="21"/>
            <w:bookmarkEnd w:id="22"/>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项目与广东省生态环境保护“十四五”规划相符性分析</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4280"/>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Align w:val="center"/>
                </w:tcPr>
                <w:p>
                  <w:pPr>
                    <w:pStyle w:val="56"/>
                  </w:pPr>
                  <w:r>
                    <w:rPr>
                      <w:rFonts w:hint="eastAsia"/>
                    </w:rPr>
                    <w:t>模块专栏</w:t>
                  </w:r>
                </w:p>
              </w:tc>
              <w:tc>
                <w:tcPr>
                  <w:tcW w:w="2807" w:type="pct"/>
                  <w:vAlign w:val="center"/>
                </w:tcPr>
                <w:p>
                  <w:pPr>
                    <w:pStyle w:val="56"/>
                  </w:pPr>
                  <w:r>
                    <w:rPr>
                      <w:rFonts w:hint="eastAsia"/>
                    </w:rPr>
                    <w:t>规划内容</w:t>
                  </w:r>
                  <w:r>
                    <w:t>要求</w:t>
                  </w:r>
                </w:p>
              </w:tc>
              <w:tc>
                <w:tcPr>
                  <w:tcW w:w="1564" w:type="pct"/>
                  <w:vAlign w:val="center"/>
                </w:tcPr>
                <w:p>
                  <w:pPr>
                    <w:pStyle w:val="56"/>
                  </w:pPr>
                  <w: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Align w:val="center"/>
                </w:tcPr>
                <w:p>
                  <w:pPr>
                    <w:pStyle w:val="56"/>
                  </w:pPr>
                  <w:r>
                    <w:rPr>
                      <w:rFonts w:hint="eastAsia"/>
                    </w:rPr>
                    <w:t>沿海重大产业平台绿色发展路径</w:t>
                  </w:r>
                </w:p>
              </w:tc>
              <w:tc>
                <w:tcPr>
                  <w:tcW w:w="2807" w:type="pct"/>
                  <w:vAlign w:val="center"/>
                </w:tcPr>
                <w:p>
                  <w:pPr>
                    <w:pStyle w:val="56"/>
                  </w:pPr>
                  <w:r>
                    <w:rPr>
                      <w:rFonts w:hint="eastAsia"/>
                    </w:rPr>
                    <w:t>茂名石化工业区：贯彻循环经济理念，积极推行清洁生产，采取先进治理措施控制污染物排放。按照“清污分流、雨污分流、循环用水”的原则，优化给排水系统。优化区内功能布局，区内各功能区和企业间设置绿化隔离带，外围设置防护绿化带。按照分类收集和综合利用的原则，落实固体废物综合利用和处理处置措施。完善三级环境风险防范应急体系。</w:t>
                  </w:r>
                </w:p>
              </w:tc>
              <w:tc>
                <w:tcPr>
                  <w:tcW w:w="1564" w:type="pct"/>
                  <w:vAlign w:val="center"/>
                </w:tcPr>
                <w:p>
                  <w:pPr>
                    <w:pStyle w:val="56"/>
                  </w:pPr>
                  <w:r>
                    <w:rPr>
                      <w:rFonts w:hint="eastAsia"/>
                    </w:rPr>
                    <w:t>本项目位于茂名高新区产业开发区恒基路99号大院</w:t>
                  </w:r>
                  <w:r>
                    <w:rPr>
                      <w:rFonts w:hint="eastAsia"/>
                      <w:szCs w:val="21"/>
                    </w:rPr>
                    <w:t>且项目属于</w:t>
                  </w:r>
                  <w:r>
                    <w:rPr>
                      <w:rFonts w:hint="eastAsia"/>
                      <w:kern w:val="0"/>
                    </w:rPr>
                    <w:t>四十五、研究和试验发展98 专业实验室、研发（试验）基地中的“其他（不产生实验废气、废水、危险废物的除外）”</w:t>
                  </w:r>
                  <w:r>
                    <w:rPr>
                      <w:rFonts w:hint="eastAsia"/>
                      <w:kern w:val="0"/>
                      <w:lang w:eastAsia="zh-CN"/>
                    </w:rPr>
                    <w:t>厂</w:t>
                  </w:r>
                  <w:r>
                    <w:rPr>
                      <w:rFonts w:hint="eastAsia"/>
                    </w:rPr>
                    <w:t>内采用雨污分流，并且院内整体合理规划，按照分类收集和综合利用的原则，落实固体废物综合利用和处理处置措施。相符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Align w:val="center"/>
                </w:tcPr>
                <w:p>
                  <w:pPr>
                    <w:pStyle w:val="56"/>
                  </w:pPr>
                  <w:r>
                    <w:rPr>
                      <w:rFonts w:hint="eastAsia"/>
                    </w:rPr>
                    <w:t>大气污染防治重点工程</w:t>
                  </w:r>
                </w:p>
              </w:tc>
              <w:tc>
                <w:tcPr>
                  <w:tcW w:w="2807" w:type="pct"/>
                  <w:vAlign w:val="center"/>
                </w:tcPr>
                <w:p>
                  <w:pPr>
                    <w:pStyle w:val="56"/>
                  </w:pPr>
                  <w:r>
                    <w:rPr>
                      <w:rFonts w:hint="eastAsia"/>
                    </w:rPr>
                    <w:t>NOx、VOCs深度治理工程：实施钢铁行业超低排放改造工程；实施石化、水泥、化工、有色金属冶炼等行业企业深度治理工程；针对B级以下企业工业炉窑，实施燃料清洁低碳化替代、废气治理设施升级改造、全过程无组织排放管控工程；实施天然气锅炉低氮燃烧改造工程。</w:t>
                  </w:r>
                </w:p>
              </w:tc>
              <w:tc>
                <w:tcPr>
                  <w:tcW w:w="1564" w:type="pct"/>
                  <w:vAlign w:val="center"/>
                </w:tcPr>
                <w:p>
                  <w:pPr>
                    <w:pStyle w:val="56"/>
                  </w:pPr>
                  <w:r>
                    <w:rPr>
                      <w:rFonts w:hint="eastAsia"/>
                    </w:rPr>
                    <w:t>本</w:t>
                  </w:r>
                  <w:r>
                    <w:rPr>
                      <w:rFonts w:hint="eastAsia"/>
                      <w:szCs w:val="21"/>
                    </w:rPr>
                    <w:t>项目属于</w:t>
                  </w:r>
                  <w:r>
                    <w:rPr>
                      <w:kern w:val="0"/>
                    </w:rPr>
                    <w:t>“</w:t>
                  </w:r>
                  <w:r>
                    <w:rPr>
                      <w:rFonts w:hint="eastAsia"/>
                      <w:kern w:val="0"/>
                    </w:rPr>
                    <w:t>四十五、研究和试验发展98 专业实验室、研发（试验）基地中的“其他（不产生实验废气、废水、危险废物的除外）”</w:t>
                  </w:r>
                  <w:r>
                    <w:rPr>
                      <w:rFonts w:hint="eastAsia"/>
                    </w:rPr>
                    <w:t>，产生的主要废气为臭气浓度、硫化氢、氨。此外，</w:t>
                  </w:r>
                  <w:r>
                    <w:rPr>
                      <w:rFonts w:hint="eastAsia"/>
                      <w:lang w:eastAsia="zh-CN"/>
                    </w:rPr>
                    <w:t>有少量的挥发性有机物</w:t>
                  </w:r>
                  <w:r>
                    <w:rPr>
                      <w:rFonts w:hint="eastAsia"/>
                    </w:rPr>
                    <w:t>废气的产生，相符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restart"/>
                  <w:vAlign w:val="center"/>
                </w:tcPr>
                <w:p>
                  <w:pPr>
                    <w:pStyle w:val="56"/>
                  </w:pPr>
                  <w:r>
                    <w:rPr>
                      <w:rFonts w:hint="eastAsia"/>
                    </w:rPr>
                    <w:t>水污染防治重大工程</w:t>
                  </w:r>
                </w:p>
              </w:tc>
              <w:tc>
                <w:tcPr>
                  <w:tcW w:w="2807" w:type="pct"/>
                  <w:vAlign w:val="center"/>
                </w:tcPr>
                <w:p>
                  <w:pPr>
                    <w:pStyle w:val="56"/>
                  </w:pPr>
                  <w:r>
                    <w:rPr>
                      <w:rFonts w:hint="eastAsia"/>
                    </w:rPr>
                    <w:t>饮用水源地及优良水体保护工程：实施江河湖库优良水体保护工程，推进优良江河及重要水库一级支流水环境综合整治，全面消除 重要水源地入河入库河流劣Ⅴ类断面；实施重点水库总氮控制工程，试点开展高州水库、新丰江水库入库总氮控制。</w:t>
                  </w:r>
                </w:p>
              </w:tc>
              <w:tc>
                <w:tcPr>
                  <w:tcW w:w="1564" w:type="pct"/>
                  <w:vMerge w:val="restart"/>
                  <w:vAlign w:val="center"/>
                </w:tcPr>
                <w:p>
                  <w:pPr>
                    <w:pStyle w:val="56"/>
                  </w:pPr>
                  <w:r>
                    <w:rPr>
                      <w:rFonts w:hint="eastAsia"/>
                    </w:rPr>
                    <w:t>本项目位于茂名高新区产业开发区恒基路99号大院，周边不存在饮用水源地、优良水体保护工程、水环境综合整治工程目标、生态修复工程流域。本项目废水主要为</w:t>
                  </w:r>
                  <w:r>
                    <w:rPr>
                      <w:rFonts w:hint="eastAsia"/>
                      <w:lang w:eastAsia="zh-CN"/>
                    </w:rPr>
                    <w:t>检验</w:t>
                  </w:r>
                  <w:r>
                    <w:rPr>
                      <w:rFonts w:hint="eastAsia"/>
                    </w:rPr>
                    <w:t>废水及生活污水，污水经过预处理后</w:t>
                  </w:r>
                  <w:r>
                    <w:rPr>
                      <w:rFonts w:hint="eastAsia"/>
                      <w:lang w:eastAsia="zh-CN"/>
                    </w:rPr>
                    <w:t>通过企业</w:t>
                  </w:r>
                  <w:r>
                    <w:rPr>
                      <w:rFonts w:hint="eastAsia"/>
                    </w:rPr>
                    <w:t>自建污水处理站处理达标后排入</w:t>
                  </w:r>
                  <w:r>
                    <w:rPr>
                      <w:rFonts w:hint="eastAsia"/>
                      <w:lang w:eastAsia="zh-CN"/>
                    </w:rPr>
                    <w:t>茂名高新技术产业开发区污水处理厂</w:t>
                  </w:r>
                  <w:r>
                    <w:rPr>
                      <w:rFonts w:hint="eastAsia"/>
                    </w:rPr>
                    <w:t>做进一步处理，相符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continue"/>
                  <w:vAlign w:val="center"/>
                </w:tcPr>
                <w:p>
                  <w:pPr>
                    <w:pStyle w:val="56"/>
                  </w:pPr>
                </w:p>
              </w:tc>
              <w:tc>
                <w:tcPr>
                  <w:tcW w:w="2807" w:type="pct"/>
                  <w:vAlign w:val="center"/>
                </w:tcPr>
                <w:p>
                  <w:pPr>
                    <w:pStyle w:val="56"/>
                  </w:pPr>
                  <w:r>
                    <w:rPr>
                      <w:rFonts w:hint="eastAsia"/>
                    </w:rPr>
                    <w:t>污水管网及处理设施建设、提质增效工程：实施污水管网及处理设施建设工程，消除城中村、老旧城区和城乡结合部生活污水收集处理设施空白区。实施污水处理提质增效工程，对进水浓度偏低的城镇污水处理厂实施“一厂一策”系统化整 治。开展省级以上工业园区“污水零直排区”创建工程。</w:t>
                  </w:r>
                </w:p>
              </w:tc>
              <w:tc>
                <w:tcPr>
                  <w:tcW w:w="1564"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continue"/>
                  <w:vAlign w:val="center"/>
                </w:tcPr>
                <w:p>
                  <w:pPr>
                    <w:pStyle w:val="56"/>
                  </w:pPr>
                </w:p>
              </w:tc>
              <w:tc>
                <w:tcPr>
                  <w:tcW w:w="2807" w:type="pct"/>
                  <w:vAlign w:val="center"/>
                </w:tcPr>
                <w:p>
                  <w:pPr>
                    <w:pStyle w:val="56"/>
                  </w:pPr>
                  <w:r>
                    <w:rPr>
                      <w:rFonts w:hint="eastAsia"/>
                    </w:rPr>
                    <w:t>水环境综合整治工程：实施练江流域、枫江流域、榕江流域、韩江流域（汕头市龙湖区鸥汀片区、上蓬围片区）、东江流域（流田河）、淡水河流域（深圳交界—惠澳铁路桥段）、九洲江流域（湛江市中心城区水系）、小东江流域（白沙河）、西江流域（鼎湖区坑口街道）、磨刀门水道流域（蓬江区）等水环境综合整治工程。</w:t>
                  </w:r>
                </w:p>
              </w:tc>
              <w:tc>
                <w:tcPr>
                  <w:tcW w:w="1564"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continue"/>
                  <w:vAlign w:val="center"/>
                </w:tcPr>
                <w:p>
                  <w:pPr>
                    <w:pStyle w:val="56"/>
                  </w:pPr>
                </w:p>
              </w:tc>
              <w:tc>
                <w:tcPr>
                  <w:tcW w:w="2807" w:type="pct"/>
                  <w:vAlign w:val="center"/>
                </w:tcPr>
                <w:p>
                  <w:pPr>
                    <w:pStyle w:val="56"/>
                  </w:pPr>
                  <w:r>
                    <w:rPr>
                      <w:rFonts w:hint="eastAsia"/>
                    </w:rPr>
                    <w:t>重要河湖湿地生态保护工程：实施新丰江水库、高州水库、南水水库、鹤地水库、同沙水库、公平水库等生态保护工程，实施潼湖、淡水河口、黄江河河口、石马河河口等湿地建设工程，推进榕江流域、小东江流域彭村湖、九洲江流域、遂溪河、廉江河、华阳湖美丽河湖等生态修复工程。</w:t>
                  </w:r>
                </w:p>
              </w:tc>
              <w:tc>
                <w:tcPr>
                  <w:tcW w:w="1564"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Align w:val="center"/>
                </w:tcPr>
                <w:p>
                  <w:pPr>
                    <w:pStyle w:val="56"/>
                  </w:pPr>
                  <w:r>
                    <w:rPr>
                      <w:rFonts w:hint="eastAsia"/>
                    </w:rPr>
                    <w:t>“美丽海湾”保护与建设重大工程</w:t>
                  </w:r>
                </w:p>
              </w:tc>
              <w:tc>
                <w:tcPr>
                  <w:tcW w:w="2807" w:type="pct"/>
                  <w:vAlign w:val="center"/>
                </w:tcPr>
                <w:p>
                  <w:pPr>
                    <w:pStyle w:val="56"/>
                  </w:pPr>
                  <w:r>
                    <w:rPr>
                      <w:rFonts w:hint="eastAsia"/>
                    </w:rPr>
                    <w:t>实施深圳大鹏湾、惠州考洲洋、范和湾、珠海东澳岛、江门镇海湾、汕头青澳湾、汕尾品清湖-金町湾、湛江金沙湾、潮州大埕湾等重点海湾“一湾一策”综合治理工程；推进珠海淇澳—担杆岛省级自然保护区滨海湿地、茂名电白区海湾湿地公园、湛江霞山观海长廊、吴川市金海岸等生态建设工程。</w:t>
                  </w:r>
                </w:p>
              </w:tc>
              <w:tc>
                <w:tcPr>
                  <w:tcW w:w="1564" w:type="pct"/>
                  <w:vAlign w:val="center"/>
                </w:tcPr>
                <w:p>
                  <w:pPr>
                    <w:pStyle w:val="56"/>
                  </w:pPr>
                  <w:r>
                    <w:rPr>
                      <w:rFonts w:hint="eastAsia"/>
                    </w:rPr>
                    <w:t>本项目周边不存在生态建设工程，相符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Align w:val="center"/>
                </w:tcPr>
                <w:p>
                  <w:pPr>
                    <w:pStyle w:val="56"/>
                  </w:pPr>
                  <w:r>
                    <w:rPr>
                      <w:rFonts w:hint="eastAsia"/>
                    </w:rPr>
                    <w:t>生态保护修复重大工程</w:t>
                  </w:r>
                </w:p>
              </w:tc>
              <w:tc>
                <w:tcPr>
                  <w:tcW w:w="2807" w:type="pct"/>
                  <w:vAlign w:val="center"/>
                </w:tcPr>
                <w:p>
                  <w:pPr>
                    <w:pStyle w:val="56"/>
                  </w:pPr>
                  <w:r>
                    <w:rPr>
                      <w:rFonts w:hint="eastAsia"/>
                    </w:rPr>
                    <w:t>生物多样性保护工程：实施南岭山地森林及生物多样性保护重大工程，推进清远、河源、韶关原生型亚热带常绿阔叶林和珍稀濒危物种保护。实施华南虎、穿山甲等重点物种保护工程和粤港澳大湾区生物多样性保护重大工程，强化广州、深圳、珠海、惠州、东莞、中山和江门受损滨海湿地和珍稀濒危物种保护修复。实施红火蚁、薇甘菊等外来入侵物种防控工程</w:t>
                  </w:r>
                </w:p>
              </w:tc>
              <w:tc>
                <w:tcPr>
                  <w:tcW w:w="1564" w:type="pct"/>
                  <w:vAlign w:val="center"/>
                </w:tcPr>
                <w:p>
                  <w:pPr>
                    <w:pStyle w:val="56"/>
                  </w:pPr>
                  <w:r>
                    <w:rPr>
                      <w:rFonts w:hint="eastAsia"/>
                    </w:rPr>
                    <w:t>本项目周边不存在生物多样性保护目标，相符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restart"/>
                  <w:vAlign w:val="center"/>
                </w:tcPr>
                <w:p>
                  <w:pPr>
                    <w:pStyle w:val="56"/>
                  </w:pPr>
                  <w:r>
                    <w:rPr>
                      <w:rFonts w:hint="eastAsia"/>
                    </w:rPr>
                    <w:t>固体废物污染防治重大工程</w:t>
                  </w:r>
                </w:p>
              </w:tc>
              <w:tc>
                <w:tcPr>
                  <w:tcW w:w="2807" w:type="pct"/>
                  <w:vAlign w:val="center"/>
                </w:tcPr>
                <w:p>
                  <w:pPr>
                    <w:pStyle w:val="56"/>
                  </w:pPr>
                  <w:r>
                    <w:rPr>
                      <w:rFonts w:hint="eastAsia"/>
                    </w:rPr>
                    <w:t>“无废城市”建设工程：深圳市深化国家“无废城市”试点建设，珠三角其他城市重点在推行绿色工业、绿色生活以及培育固体废物处置产业、推行固体废物多元共治方面进行探索，粤东西北城市因地制宜在实施绿色园区、绿色矿山、绿色农业以及提高风险防控能力等方面进行探索。推进“无废园区”“无废社区”等细胞工程，推进中山翠亨新区“无废新区”建设。</w:t>
                  </w:r>
                </w:p>
              </w:tc>
              <w:tc>
                <w:tcPr>
                  <w:tcW w:w="1564" w:type="pct"/>
                  <w:vMerge w:val="restart"/>
                  <w:vAlign w:val="center"/>
                </w:tcPr>
                <w:p>
                  <w:pPr>
                    <w:pStyle w:val="56"/>
                  </w:pPr>
                  <w:r>
                    <w:rPr>
                      <w:rFonts w:hint="eastAsia"/>
                    </w:rPr>
                    <w:t>本项目产生的</w:t>
                  </w:r>
                  <w:r>
                    <w:rPr>
                      <w:rFonts w:hint="eastAsia"/>
                      <w:lang w:eastAsia="zh-CN"/>
                    </w:rPr>
                    <w:t>检验</w:t>
                  </w:r>
                  <w:r>
                    <w:rPr>
                      <w:rFonts w:hint="eastAsia"/>
                    </w:rPr>
                    <w:t>废物暂存于危废间，定期交由</w:t>
                  </w:r>
                  <w:r>
                    <w:rPr>
                      <w:rFonts w:hint="eastAsia"/>
                      <w:lang w:eastAsia="zh-CN"/>
                    </w:rPr>
                    <w:t>有资质企业</w:t>
                  </w:r>
                  <w:r>
                    <w:rPr>
                      <w:rFonts w:hint="eastAsia"/>
                    </w:rPr>
                    <w:t>处理，相符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continue"/>
                  <w:vAlign w:val="center"/>
                </w:tcPr>
                <w:p>
                  <w:pPr>
                    <w:pStyle w:val="56"/>
                  </w:pPr>
                </w:p>
              </w:tc>
              <w:tc>
                <w:tcPr>
                  <w:tcW w:w="2807" w:type="pct"/>
                  <w:vAlign w:val="center"/>
                </w:tcPr>
                <w:p>
                  <w:pPr>
                    <w:pStyle w:val="56"/>
                  </w:pPr>
                  <w:r>
                    <w:rPr>
                      <w:rFonts w:hint="eastAsia"/>
                    </w:rPr>
                    <w:t>危险废物安全处理处置工程：加快推进广州、中山、湛江等市危险废物焚烧处置项目以及汕头、东莞等市危险废物填埋项目建设，提升表面处理废物、染料、涂料类废物、焚烧飞灰等处理处置能力。</w:t>
                  </w:r>
                </w:p>
              </w:tc>
              <w:tc>
                <w:tcPr>
                  <w:tcW w:w="1564"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continue"/>
                  <w:vAlign w:val="center"/>
                </w:tcPr>
                <w:p>
                  <w:pPr>
                    <w:pStyle w:val="56"/>
                  </w:pPr>
                </w:p>
              </w:tc>
              <w:tc>
                <w:tcPr>
                  <w:tcW w:w="2807" w:type="pct"/>
                  <w:vAlign w:val="center"/>
                </w:tcPr>
                <w:p>
                  <w:pPr>
                    <w:pStyle w:val="56"/>
                  </w:pPr>
                  <w:r>
                    <w:rPr>
                      <w:rFonts w:hint="eastAsia"/>
                    </w:rPr>
                    <w:t>医疗废物安全处理处置工程：升级改造云浮、潮州、湛江等市医疗废物安全处理处置设施，新建广州、珠海、佛山、阳江等市医疗废物安全处理处置设施。</w:t>
                  </w:r>
                </w:p>
              </w:tc>
              <w:tc>
                <w:tcPr>
                  <w:tcW w:w="1564"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continue"/>
                  <w:vAlign w:val="center"/>
                </w:tcPr>
                <w:p>
                  <w:pPr>
                    <w:pStyle w:val="56"/>
                  </w:pPr>
                </w:p>
              </w:tc>
              <w:tc>
                <w:tcPr>
                  <w:tcW w:w="2807" w:type="pct"/>
                  <w:vAlign w:val="center"/>
                </w:tcPr>
                <w:p>
                  <w:pPr>
                    <w:pStyle w:val="56"/>
                  </w:pPr>
                  <w:r>
                    <w:rPr>
                      <w:rFonts w:hint="eastAsia"/>
                    </w:rPr>
                    <w:t>一般工业固体废物处理处置工程：推进韶关、梅州、珠海等工业固废综合利用示范项目建设。</w:t>
                  </w:r>
                </w:p>
              </w:tc>
              <w:tc>
                <w:tcPr>
                  <w:tcW w:w="1564"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Align w:val="center"/>
                </w:tcPr>
                <w:p>
                  <w:pPr>
                    <w:pStyle w:val="56"/>
                    <w:rPr>
                      <w:lang w:val="en-US"/>
                    </w:rPr>
                  </w:pPr>
                  <w:r>
                    <w:rPr>
                      <w:rFonts w:hint="eastAsia"/>
                    </w:rPr>
                    <w:t>核安全与放射性污染防治重大工程</w:t>
                  </w:r>
                </w:p>
              </w:tc>
              <w:tc>
                <w:tcPr>
                  <w:tcW w:w="2807" w:type="pct"/>
                  <w:vAlign w:val="center"/>
                </w:tcPr>
                <w:p>
                  <w:pPr>
                    <w:pStyle w:val="56"/>
                  </w:pPr>
                  <w:r>
                    <w:rPr>
                      <w:rFonts w:hint="eastAsia"/>
                    </w:rPr>
                    <w:t>核与辐射应急回应能力建设工程：建设广东省核应急指挥中心，核事故应急监测指挥决策平台，广东省核安全与应急技术联合实验室，广东省环境辐射监测中心粤东分部一期工程，大亚湾/岭澳、阳江、台山、太平岭和廉江等核电站前沿综合核应急设施等。</w:t>
                  </w:r>
                </w:p>
              </w:tc>
              <w:tc>
                <w:tcPr>
                  <w:tcW w:w="1564" w:type="pct"/>
                  <w:vAlign w:val="center"/>
                </w:tcPr>
                <w:p>
                  <w:pPr>
                    <w:pStyle w:val="56"/>
                  </w:pPr>
                  <w:r>
                    <w:rPr>
                      <w:rFonts w:hint="eastAsia"/>
                    </w:rPr>
                    <w:t>本项目不涉及核辐射以及放射性物质，相符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restart"/>
                  <w:vAlign w:val="center"/>
                </w:tcPr>
                <w:p>
                  <w:pPr>
                    <w:pStyle w:val="56"/>
                  </w:pPr>
                  <w:r>
                    <w:rPr>
                      <w:rFonts w:hint="eastAsia"/>
                    </w:rPr>
                    <w:t>生态环境监测网络建设主要任务</w:t>
                  </w:r>
                </w:p>
              </w:tc>
              <w:tc>
                <w:tcPr>
                  <w:tcW w:w="2807" w:type="pct"/>
                  <w:vAlign w:val="center"/>
                </w:tcPr>
                <w:p>
                  <w:pPr>
                    <w:pStyle w:val="56"/>
                  </w:pPr>
                  <w:r>
                    <w:rPr>
                      <w:rFonts w:hint="eastAsia"/>
                    </w:rPr>
                    <w:t>大气环境监测网络：优化省控城市空气质量监测网，推进空气质量评价、发布、排名覆盖全部县区。完善O</w:t>
                  </w:r>
                  <w:r>
                    <w:rPr>
                      <w:rFonts w:hint="eastAsia"/>
                      <w:vertAlign w:val="subscript"/>
                    </w:rPr>
                    <w:t>3</w:t>
                  </w:r>
                  <w:r>
                    <w:rPr>
                      <w:rFonts w:hint="eastAsia"/>
                    </w:rPr>
                    <w:t>和PM</w:t>
                  </w:r>
                  <w:r>
                    <w:rPr>
                      <w:rFonts w:hint="eastAsia"/>
                      <w:vertAlign w:val="subscript"/>
                    </w:rPr>
                    <w:t>2.5</w:t>
                  </w:r>
                  <w:r>
                    <w:rPr>
                      <w:rFonts w:hint="eastAsia"/>
                    </w:rPr>
                    <w:t>协同控制立体监测网络，实现大气污染追因溯源常态化。在空气污染较重尤其是臭氧超标的重点城市及区域，开展VOCs走航监测。推动空港、道路、港口码头以及工业园区等典型污染源监测站点建设。</w:t>
                  </w:r>
                </w:p>
              </w:tc>
              <w:tc>
                <w:tcPr>
                  <w:tcW w:w="1564" w:type="pct"/>
                  <w:vMerge w:val="restart"/>
                  <w:vAlign w:val="center"/>
                </w:tcPr>
                <w:p>
                  <w:pPr>
                    <w:pStyle w:val="56"/>
                  </w:pPr>
                  <w:r>
                    <w:rPr>
                      <w:rFonts w:hint="eastAsia"/>
                    </w:rPr>
                    <w:t>本项目设有自行监测计划，对运营期间内产生的废气、废水和噪声等进行监测，相符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continue"/>
                  <w:vAlign w:val="center"/>
                </w:tcPr>
                <w:p>
                  <w:pPr>
                    <w:pStyle w:val="56"/>
                  </w:pPr>
                </w:p>
              </w:tc>
              <w:tc>
                <w:tcPr>
                  <w:tcW w:w="2807" w:type="pct"/>
                  <w:vAlign w:val="center"/>
                </w:tcPr>
                <w:p>
                  <w:pPr>
                    <w:pStyle w:val="56"/>
                  </w:pPr>
                  <w:r>
                    <w:rPr>
                      <w:rFonts w:hint="eastAsia"/>
                    </w:rPr>
                    <w:t>水环境监测网络：优化省控地表水监测网，实现流域面积500km</w:t>
                  </w:r>
                  <w:r>
                    <w:rPr>
                      <w:rFonts w:hint="eastAsia"/>
                      <w:vertAlign w:val="superscript"/>
                    </w:rPr>
                    <w:t>2</w:t>
                  </w:r>
                  <w:r>
                    <w:rPr>
                      <w:rFonts w:hint="eastAsia"/>
                    </w:rPr>
                    <w:t>以上主要支流全覆盖，流域面积100km</w:t>
                  </w:r>
                  <w:r>
                    <w:rPr>
                      <w:rFonts w:hint="eastAsia"/>
                      <w:vertAlign w:val="superscript"/>
                    </w:rPr>
                    <w:t>2</w:t>
                  </w:r>
                  <w:r>
                    <w:rPr>
                      <w:rFonts w:hint="eastAsia"/>
                    </w:rPr>
                    <w:t>以上跨市河流交界断面全覆盖。推进“十四五”国考、省考断面自动监测逐步覆盖。提升饮用水源预警能力，实现市级以上城市集中式饮用水源地自动监测全覆盖。建成覆盖21个地级以上市和全部三级水文地质分区，兼顾重点污染区域和地下水型饮用水水源地的地下水环境质量监测网络。</w:t>
                  </w:r>
                </w:p>
              </w:tc>
              <w:tc>
                <w:tcPr>
                  <w:tcW w:w="1564"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vMerge w:val="continue"/>
                  <w:vAlign w:val="center"/>
                </w:tcPr>
                <w:p>
                  <w:pPr>
                    <w:pStyle w:val="56"/>
                  </w:pPr>
                </w:p>
              </w:tc>
              <w:tc>
                <w:tcPr>
                  <w:tcW w:w="2807" w:type="pct"/>
                  <w:vAlign w:val="center"/>
                </w:tcPr>
                <w:p>
                  <w:pPr>
                    <w:pStyle w:val="56"/>
                  </w:pPr>
                  <w:r>
                    <w:rPr>
                      <w:rFonts w:hint="eastAsia"/>
                    </w:rPr>
                    <w:t>噪声环境监测网络：统筹优化城市区域、道路交通和功能区声环境质量监测点位，完善功能区声环境质量自动监测网络，在噪声敏感建筑物集中的区域增设点位。在城市交通干线、机场、风力发电场等周边区域开展噪声专项调查监测。</w:t>
                  </w:r>
                </w:p>
              </w:tc>
              <w:tc>
                <w:tcPr>
                  <w:tcW w:w="1564" w:type="pct"/>
                  <w:vMerge w:val="continue"/>
                  <w:vAlign w:val="center"/>
                </w:tcPr>
                <w:p>
                  <w:pPr>
                    <w:pStyle w:val="56"/>
                  </w:pPr>
                </w:p>
              </w:tc>
            </w:tr>
          </w:tbl>
          <w:p>
            <w:pPr>
              <w:pStyle w:val="56"/>
            </w:pPr>
          </w:p>
          <w:p>
            <w:pPr>
              <w:pStyle w:val="3"/>
              <w:rPr>
                <w:lang w:eastAsia="zh-CN"/>
              </w:rPr>
            </w:pPr>
            <w:bookmarkStart w:id="23" w:name="_Toc120889789"/>
            <w:bookmarkStart w:id="24" w:name="_Toc121147714"/>
            <w:bookmarkStart w:id="25" w:name="_Toc122338481"/>
            <w:r>
              <w:rPr>
                <w:rFonts w:hint="eastAsia"/>
                <w:lang w:eastAsia="zh-CN"/>
              </w:rPr>
              <w:t>《</w:t>
            </w:r>
            <w:r>
              <w:rPr>
                <w:rFonts w:hint="eastAsia"/>
              </w:rPr>
              <w:t>茂名市生态环境保护“十四五”规划</w:t>
            </w:r>
            <w:r>
              <w:rPr>
                <w:rFonts w:hint="eastAsia"/>
                <w:lang w:eastAsia="zh-CN"/>
              </w:rPr>
              <w:t>》相符性分析</w:t>
            </w:r>
            <w:bookmarkEnd w:id="23"/>
            <w:bookmarkEnd w:id="24"/>
            <w:bookmarkEnd w:id="25"/>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项目与茂名市生态环境保护“十四五”规划相符性</w:t>
            </w:r>
          </w:p>
          <w:tbl>
            <w:tblPr>
              <w:tblStyle w:val="37"/>
              <w:tblW w:w="7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2963"/>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jc w:val="center"/>
              </w:trPr>
              <w:tc>
                <w:tcPr>
                  <w:tcW w:w="997" w:type="pct"/>
                  <w:vAlign w:val="center"/>
                </w:tcPr>
                <w:p>
                  <w:pPr>
                    <w:pStyle w:val="56"/>
                  </w:pPr>
                  <w:r>
                    <w:rPr>
                      <w:rFonts w:hint="eastAsia"/>
                    </w:rPr>
                    <w:t>模块专栏</w:t>
                  </w:r>
                </w:p>
              </w:tc>
              <w:tc>
                <w:tcPr>
                  <w:tcW w:w="1947" w:type="pct"/>
                  <w:vAlign w:val="center"/>
                </w:tcPr>
                <w:p>
                  <w:pPr>
                    <w:pStyle w:val="56"/>
                  </w:pPr>
                  <w:r>
                    <w:rPr>
                      <w:rFonts w:hint="eastAsia"/>
                    </w:rPr>
                    <w:t>规划内容</w:t>
                  </w:r>
                  <w:r>
                    <w:t>要求</w:t>
                  </w:r>
                </w:p>
              </w:tc>
              <w:tc>
                <w:tcPr>
                  <w:tcW w:w="2056" w:type="pct"/>
                  <w:vAlign w:val="center"/>
                </w:tcPr>
                <w:p>
                  <w:pPr>
                    <w:pStyle w:val="56"/>
                  </w:pPr>
                  <w: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997" w:type="pct"/>
                  <w:vAlign w:val="center"/>
                </w:tcPr>
                <w:p>
                  <w:pPr>
                    <w:pStyle w:val="56"/>
                  </w:pPr>
                  <w:r>
                    <w:rPr>
                      <w:rFonts w:hint="eastAsia"/>
                    </w:rPr>
                    <w:t>以“三水统筹”为重点，改善全市水域生态环境</w:t>
                  </w:r>
                </w:p>
              </w:tc>
              <w:tc>
                <w:tcPr>
                  <w:tcW w:w="1947" w:type="pct"/>
                  <w:vAlign w:val="center"/>
                </w:tcPr>
                <w:p>
                  <w:pPr>
                    <w:pStyle w:val="56"/>
                  </w:pPr>
                  <w:r>
                    <w:rPr>
                      <w:rFonts w:hint="eastAsia"/>
                    </w:rPr>
                    <w:t>持续提升水环境综合质量；优化提高水资源利用效率；加快促进水生态整治恢复；严控水生态环境综合风险</w:t>
                  </w:r>
                </w:p>
              </w:tc>
              <w:tc>
                <w:tcPr>
                  <w:tcW w:w="2056" w:type="pct"/>
                  <w:vAlign w:val="center"/>
                </w:tcPr>
                <w:p>
                  <w:pPr>
                    <w:pStyle w:val="56"/>
                  </w:pPr>
                  <w:r>
                    <w:rPr>
                      <w:rFonts w:hint="eastAsia"/>
                    </w:rPr>
                    <w:t>本项目营运期产生的</w:t>
                  </w:r>
                  <w:r>
                    <w:rPr>
                      <w:rFonts w:hint="eastAsia"/>
                      <w:lang w:eastAsia="zh-CN"/>
                    </w:rPr>
                    <w:t>检验</w:t>
                  </w:r>
                  <w:r>
                    <w:rPr>
                      <w:rFonts w:hint="eastAsia"/>
                    </w:rPr>
                    <w:t>废水及生活污水</w:t>
                  </w:r>
                  <w:r>
                    <w:rPr>
                      <w:rFonts w:hint="eastAsia"/>
                      <w:lang w:eastAsia="zh-CN"/>
                    </w:rPr>
                    <w:t>通过企业自建的污水处理站</w:t>
                  </w:r>
                  <w:r>
                    <w:rPr>
                      <w:rFonts w:hint="eastAsia"/>
                    </w:rPr>
                    <w:t>处理达标后经</w:t>
                  </w:r>
                  <w:r>
                    <w:rPr>
                      <w:rFonts w:hint="eastAsia"/>
                      <w:lang w:eastAsia="zh-CN"/>
                    </w:rPr>
                    <w:t>园区</w:t>
                  </w:r>
                  <w:r>
                    <w:rPr>
                      <w:rFonts w:hint="eastAsia"/>
                    </w:rPr>
                    <w:t>管网排入</w:t>
                  </w:r>
                  <w:r>
                    <w:rPr>
                      <w:rFonts w:hint="eastAsia"/>
                      <w:lang w:eastAsia="zh-CN"/>
                    </w:rPr>
                    <w:t>茂名高新技术产业开发区污水处理厂</w:t>
                  </w:r>
                  <w:r>
                    <w:rPr>
                      <w:rFonts w:hint="eastAsia"/>
                    </w:rPr>
                    <w:t>处理。相符。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997" w:type="pct"/>
                  <w:vAlign w:val="center"/>
                </w:tcPr>
                <w:p>
                  <w:pPr>
                    <w:pStyle w:val="56"/>
                  </w:pPr>
                  <w:r>
                    <w:rPr>
                      <w:rFonts w:hint="eastAsia"/>
                    </w:rPr>
                    <w:t>以“系统治理”为手段，持续改善大气环境质量</w:t>
                  </w:r>
                </w:p>
              </w:tc>
              <w:tc>
                <w:tcPr>
                  <w:tcW w:w="1947" w:type="pct"/>
                  <w:vAlign w:val="center"/>
                </w:tcPr>
                <w:p>
                  <w:pPr>
                    <w:pStyle w:val="56"/>
                  </w:pPr>
                  <w:r>
                    <w:rPr>
                      <w:rFonts w:hint="eastAsia"/>
                    </w:rPr>
                    <w:t>提升大气污染精准防控水平；推进挥发性有机物综合治理；强化工业炉窑和锅炉污染治理；强化移动源治理监管；强化大气面源污染防控</w:t>
                  </w:r>
                </w:p>
              </w:tc>
              <w:tc>
                <w:tcPr>
                  <w:tcW w:w="2056" w:type="pct"/>
                  <w:vAlign w:val="center"/>
                </w:tcPr>
                <w:p>
                  <w:pPr>
                    <w:pStyle w:val="56"/>
                  </w:pPr>
                  <w:r>
                    <w:rPr>
                      <w:rFonts w:hint="eastAsia"/>
                    </w:rPr>
                    <w:t>本项目不涉及工业炉窑和锅炉。本项目产生的废气主要为污水处理站产生的恶臭气体</w:t>
                  </w:r>
                  <w:r>
                    <w:rPr>
                      <w:rFonts w:hint="eastAsia"/>
                      <w:lang w:eastAsia="zh-CN"/>
                    </w:rPr>
                    <w:t>与及少量的挥发性有机物废气，经过处理后达标排放</w:t>
                  </w:r>
                  <w:r>
                    <w:rPr>
                      <w:rFonts w:hint="eastAsi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97" w:type="pct"/>
                  <w:vAlign w:val="center"/>
                </w:tcPr>
                <w:p>
                  <w:pPr>
                    <w:pStyle w:val="56"/>
                  </w:pPr>
                  <w:r>
                    <w:rPr>
                      <w:rFonts w:hint="eastAsia"/>
                    </w:rPr>
                    <w:t>以“海陆统筹”为原则，强化海洋生态环境保护</w:t>
                  </w:r>
                </w:p>
              </w:tc>
              <w:tc>
                <w:tcPr>
                  <w:tcW w:w="1947" w:type="pct"/>
                  <w:vAlign w:val="center"/>
                </w:tcPr>
                <w:p>
                  <w:pPr>
                    <w:pStyle w:val="56"/>
                  </w:pPr>
                  <w:r>
                    <w:rPr>
                      <w:rFonts w:hint="eastAsia"/>
                    </w:rPr>
                    <w:t>强化陆海污染防治；推进近海生态修复；全面防控环境风险；加快完善监管体系；注重构建亲海空间；梯次推进美丽海湾</w:t>
                  </w:r>
                </w:p>
              </w:tc>
              <w:tc>
                <w:tcPr>
                  <w:tcW w:w="2056" w:type="pct"/>
                  <w:vAlign w:val="center"/>
                </w:tcPr>
                <w:p>
                  <w:pPr>
                    <w:pStyle w:val="56"/>
                  </w:pPr>
                  <w:r>
                    <w:rPr>
                      <w:rFonts w:hint="eastAsia"/>
                    </w:rPr>
                    <w:t>本项目位于茂名高新区产业开发区恒基路99号大院，不涉及海洋部分。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jc w:val="center"/>
              </w:trPr>
              <w:tc>
                <w:tcPr>
                  <w:tcW w:w="997" w:type="pct"/>
                  <w:vAlign w:val="center"/>
                </w:tcPr>
                <w:p>
                  <w:pPr>
                    <w:pStyle w:val="56"/>
                  </w:pPr>
                  <w:r>
                    <w:rPr>
                      <w:rFonts w:hint="eastAsia"/>
                    </w:rPr>
                    <w:t>以“安全利用”为导向，保障土壤生态环境安全</w:t>
                  </w:r>
                </w:p>
              </w:tc>
              <w:tc>
                <w:tcPr>
                  <w:tcW w:w="1947" w:type="pct"/>
                  <w:vAlign w:val="center"/>
                </w:tcPr>
                <w:p>
                  <w:pPr>
                    <w:pStyle w:val="56"/>
                  </w:pPr>
                  <w:r>
                    <w:rPr>
                      <w:rFonts w:hint="eastAsia"/>
                    </w:rPr>
                    <w:t>加强农用地保护力度，保障农业生产环境安全；加强建设用地风险管控，防范人居环境风险；开展污染治理和修复，改善区域土壤环境质量；加强地下水环境保护，防范地下水污染风险</w:t>
                  </w:r>
                </w:p>
              </w:tc>
              <w:tc>
                <w:tcPr>
                  <w:tcW w:w="2056" w:type="pct"/>
                  <w:vAlign w:val="center"/>
                </w:tcPr>
                <w:p>
                  <w:pPr>
                    <w:pStyle w:val="56"/>
                  </w:pPr>
                  <w:r>
                    <w:rPr>
                      <w:rFonts w:hint="eastAsia"/>
                    </w:rPr>
                    <w:t>本项目用地均做到硬底化措施，能有效防治污染土地。相符。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jc w:val="center"/>
              </w:trPr>
              <w:tc>
                <w:tcPr>
                  <w:tcW w:w="997" w:type="pct"/>
                  <w:vAlign w:val="center"/>
                </w:tcPr>
                <w:p>
                  <w:pPr>
                    <w:pStyle w:val="56"/>
                  </w:pPr>
                  <w:r>
                    <w:rPr>
                      <w:rFonts w:hint="eastAsia"/>
                    </w:rPr>
                    <w:t>以“循环利用”为重点，推进固体废物污染防治</w:t>
                  </w:r>
                </w:p>
              </w:tc>
              <w:tc>
                <w:tcPr>
                  <w:tcW w:w="1947" w:type="pct"/>
                  <w:vAlign w:val="center"/>
                </w:tcPr>
                <w:p>
                  <w:pPr>
                    <w:pStyle w:val="56"/>
                  </w:pPr>
                  <w:r>
                    <w:rPr>
                      <w:rFonts w:hint="eastAsia"/>
                      <w:szCs w:val="24"/>
                    </w:rPr>
                    <w:t>优化固体废物利用处置能力；加大固体废物环境监管力度；强化固体废物环境风险防控；完善固体废物治理支撑体系</w:t>
                  </w:r>
                </w:p>
              </w:tc>
              <w:tc>
                <w:tcPr>
                  <w:tcW w:w="2056" w:type="pct"/>
                  <w:vAlign w:val="center"/>
                </w:tcPr>
                <w:p>
                  <w:pPr>
                    <w:pStyle w:val="56"/>
                  </w:pPr>
                  <w:r>
                    <w:rPr>
                      <w:rFonts w:hint="eastAsia"/>
                    </w:rPr>
                    <w:t>本项目严格做好防渗处理。危废暂存间中存放的危险废物严格按照暂存要求存放，加强对厂内固废的管理制度，确保每一项的固废都能得到有效的处理。相符。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jc w:val="center"/>
              </w:trPr>
              <w:tc>
                <w:tcPr>
                  <w:tcW w:w="997" w:type="pct"/>
                  <w:vAlign w:val="center"/>
                </w:tcPr>
                <w:p>
                  <w:pPr>
                    <w:pStyle w:val="56"/>
                  </w:pPr>
                  <w:r>
                    <w:rPr>
                      <w:rFonts w:hint="eastAsia"/>
                    </w:rPr>
                    <w:t>以“风险防控”为重点，筑牢生态环境安全底线</w:t>
                  </w:r>
                </w:p>
              </w:tc>
              <w:tc>
                <w:tcPr>
                  <w:tcW w:w="1947" w:type="pct"/>
                  <w:vAlign w:val="center"/>
                </w:tcPr>
                <w:p>
                  <w:pPr>
                    <w:pStyle w:val="56"/>
                  </w:pPr>
                  <w:r>
                    <w:rPr>
                      <w:rFonts w:hint="eastAsia"/>
                    </w:rPr>
                    <w:t>加强重金属和危化品风险管控；持续强化核与辐射风险防控；逐步推进新污染物综合治理；完善生态环境风险防控体系</w:t>
                  </w:r>
                </w:p>
              </w:tc>
              <w:tc>
                <w:tcPr>
                  <w:tcW w:w="2056" w:type="pct"/>
                  <w:vAlign w:val="center"/>
                </w:tcPr>
                <w:p>
                  <w:pPr>
                    <w:pStyle w:val="56"/>
                  </w:pPr>
                  <w:r>
                    <w:rPr>
                      <w:rFonts w:hint="eastAsia"/>
                    </w:rPr>
                    <w:t>本项目不涉及重金属和危化品的使用。相符。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97" w:type="pct"/>
                  <w:vAlign w:val="center"/>
                </w:tcPr>
                <w:p>
                  <w:pPr>
                    <w:pStyle w:val="56"/>
                  </w:pPr>
                  <w:r>
                    <w:rPr>
                      <w:rFonts w:hint="eastAsia"/>
                    </w:rPr>
                    <w:t>以“减污降碳”为抓手，积极应对气候变化</w:t>
                  </w:r>
                </w:p>
              </w:tc>
              <w:tc>
                <w:tcPr>
                  <w:tcW w:w="1947" w:type="pct"/>
                  <w:vAlign w:val="center"/>
                </w:tcPr>
                <w:p>
                  <w:pPr>
                    <w:pStyle w:val="56"/>
                  </w:pPr>
                  <w:r>
                    <w:rPr>
                      <w:rFonts w:hint="eastAsia"/>
                    </w:rPr>
                    <w:t>加强温室气体排放控制；持续推动结构优化升级；创新推动低碳试点示范；大力强化绿色科技创新；提升气候应对变化能力</w:t>
                  </w:r>
                </w:p>
              </w:tc>
              <w:tc>
                <w:tcPr>
                  <w:tcW w:w="2056" w:type="pct"/>
                  <w:vAlign w:val="center"/>
                </w:tcPr>
                <w:p>
                  <w:pPr>
                    <w:pStyle w:val="56"/>
                  </w:pPr>
                  <w:r>
                    <w:rPr>
                      <w:rFonts w:hint="eastAsia"/>
                    </w:rPr>
                    <w:t>本项目不涉及温室气体部分内容。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997" w:type="pct"/>
                  <w:vAlign w:val="center"/>
                </w:tcPr>
                <w:p>
                  <w:pPr>
                    <w:pStyle w:val="56"/>
                  </w:pPr>
                  <w:r>
                    <w:rPr>
                      <w:rFonts w:hint="eastAsia"/>
                    </w:rPr>
                    <w:t>以“改革创新”为引领，深化生态文明体制改革</w:t>
                  </w:r>
                </w:p>
              </w:tc>
              <w:tc>
                <w:tcPr>
                  <w:tcW w:w="1947" w:type="pct"/>
                  <w:vAlign w:val="center"/>
                </w:tcPr>
                <w:p>
                  <w:pPr>
                    <w:pStyle w:val="56"/>
                  </w:pPr>
                  <w:r>
                    <w:rPr>
                      <w:rFonts w:hint="eastAsia"/>
                    </w:rPr>
                    <w:t>优化治理机制，健全生态环境保护法规体系；提升治理能力，完善生态环境保护支撑体系；应用“三线一单”，构建生态环境空间管控体系；完善治理主体，构建生态环境治理责任体系；依托生态资源，探索生态产品价值实现路径</w:t>
                  </w:r>
                </w:p>
              </w:tc>
              <w:tc>
                <w:tcPr>
                  <w:tcW w:w="2056" w:type="pct"/>
                  <w:vAlign w:val="center"/>
                </w:tcPr>
                <w:p>
                  <w:pPr>
                    <w:pStyle w:val="56"/>
                  </w:pPr>
                  <w:r>
                    <w:rPr>
                      <w:rFonts w:hint="eastAsia"/>
                    </w:rPr>
                    <w:t>本项目根据茂名市“三线一单”生态环境分区管控方案中的内容，本项目属于电白区中北部片区一般管控单元（</w:t>
                  </w:r>
                  <w:r>
                    <w:rPr>
                      <w:rFonts w:eastAsia="仿宋_GB2312"/>
                      <w:szCs w:val="21"/>
                    </w:rPr>
                    <w:t>ZH44090430001</w:t>
                  </w:r>
                  <w:r>
                    <w:rPr>
                      <w:rFonts w:hint="eastAsia"/>
                    </w:rPr>
                    <w:t>）。</w:t>
                  </w:r>
                </w:p>
              </w:tc>
            </w:tr>
          </w:tbl>
          <w:p>
            <w:pPr>
              <w:pStyle w:val="3"/>
              <w:rPr>
                <w:lang w:val="en-US" w:eastAsia="zh-CN"/>
              </w:rPr>
            </w:pPr>
            <w:bookmarkStart w:id="26" w:name="_Toc121147715"/>
            <w:bookmarkStart w:id="27" w:name="_Toc122338482"/>
            <w:bookmarkStart w:id="28" w:name="_Toc120889790"/>
            <w:r>
              <w:rPr>
                <w:rFonts w:hint="eastAsia"/>
                <w:lang w:val="en-US" w:eastAsia="zh-CN"/>
              </w:rPr>
              <w:t>与《2020年挥发性有机物治理攻坚方案》的相符性分析</w:t>
            </w:r>
            <w:bookmarkEnd w:id="26"/>
            <w:bookmarkEnd w:id="27"/>
          </w:p>
          <w:p>
            <w:pPr>
              <w:ind w:firstLine="480"/>
              <w:rPr>
                <w:lang w:val="zh-CN"/>
              </w:rPr>
            </w:pPr>
            <w:r>
              <w:rPr>
                <w:rFonts w:hint="eastAsia"/>
                <w:lang w:val="zh-CN"/>
              </w:rPr>
              <w:t>根据生态环境部《2020年挥发性有机物治理攻坚方案》的要求，“一、大力推进源头替代，有效减少VOCs产生；二、全面落实标准要求，强化无组织排放控制；三、聚焦治污设施“三率”，提升综合治理效率”。</w:t>
            </w:r>
          </w:p>
          <w:p>
            <w:pPr>
              <w:ind w:firstLine="480"/>
              <w:rPr>
                <w:lang w:val="zh-CN"/>
              </w:rPr>
            </w:pPr>
            <w:r>
              <w:rPr>
                <w:rFonts w:hint="eastAsia"/>
                <w:lang w:val="zh-CN"/>
              </w:rPr>
              <w:t>本项目乙醇使用瓶装，非取用状态时均加盖、保持密闭。项目使用乙醇对仪器设备、操作台消毒过程产生的VOCs较少。本项目基本符合《2020年挥发性有机物治理攻坚方案》的要求。</w:t>
            </w:r>
          </w:p>
          <w:p>
            <w:pPr>
              <w:pStyle w:val="3"/>
            </w:pPr>
            <w:bookmarkStart w:id="29" w:name="_Toc121147716"/>
            <w:bookmarkStart w:id="30" w:name="_Toc122338483"/>
            <w:r>
              <w:rPr>
                <w:rFonts w:hint="eastAsia"/>
              </w:rPr>
              <w:t>与《挥发性有机物无组织排放控制标准》（GB37822-2019）的相符性分析</w:t>
            </w:r>
            <w:bookmarkEnd w:id="29"/>
            <w:bookmarkEnd w:id="30"/>
          </w:p>
          <w:p>
            <w:pPr>
              <w:ind w:firstLine="480"/>
              <w:rPr>
                <w:lang w:val="zh-CN" w:eastAsia="zh-CN"/>
              </w:rPr>
            </w:pPr>
            <w:r>
              <w:rPr>
                <w:rFonts w:hint="eastAsia"/>
                <w:lang w:val="zh-CN" w:eastAsia="zh-CN"/>
              </w:rPr>
              <w:t>——根据《挥发性有机物无组织排放控制标准》（GB37822-2019）中定义，VOCs物料是指VOCs质量占比大于等于10%的物料，以及有机聚合物材料。</w:t>
            </w:r>
          </w:p>
          <w:p>
            <w:pPr>
              <w:ind w:firstLine="480"/>
              <w:rPr>
                <w:lang w:val="zh-CN" w:eastAsia="zh-CN"/>
              </w:rPr>
            </w:pPr>
            <w:r>
              <w:rPr>
                <w:rFonts w:hint="eastAsia"/>
                <w:lang w:val="zh-CN" w:eastAsia="zh-CN"/>
              </w:rPr>
              <w:t>本项目产生含挥发性有机物废气主要为乙醇。</w:t>
            </w:r>
          </w:p>
          <w:p>
            <w:pPr>
              <w:ind w:firstLine="480"/>
              <w:rPr>
                <w:lang w:val="zh-CN" w:eastAsia="zh-CN"/>
              </w:rPr>
            </w:pPr>
            <w:r>
              <w:rPr>
                <w:rFonts w:hint="eastAsia"/>
                <w:lang w:val="zh-CN" w:eastAsia="zh-CN"/>
              </w:rPr>
              <w:t>——物料储存：VOCs物料应储存于密闭的容器、包装袋、储罐、储库、料仓中；盛装VOCs物料的容器或包装袋应存放于室内、或存放于设置有雨棚、遮阳和防渗设施的专用场地，盛装VOCs物料的容器或包装袋在非取用状态时应加盖、封口，保持密闭；VOCs物料储罐应密封良好；VOCs物料储库、料仓应满足3.6条对密闭空间的要求。</w:t>
            </w:r>
          </w:p>
          <w:p>
            <w:pPr>
              <w:ind w:firstLine="480"/>
              <w:rPr>
                <w:lang w:val="zh-CN" w:eastAsia="zh-CN"/>
              </w:rPr>
            </w:pPr>
            <w:r>
              <w:rPr>
                <w:rFonts w:hint="eastAsia"/>
                <w:lang w:val="zh-CN" w:eastAsia="zh-CN"/>
              </w:rPr>
              <w:t>本项目涉VOCs物料为乙醇，均使用瓶装，非取用状态时均加盖、保持密闭，均放置于室内，符合要求。</w:t>
            </w:r>
          </w:p>
          <w:p>
            <w:pPr>
              <w:ind w:firstLine="480"/>
              <w:rPr>
                <w:lang w:val="zh-CN" w:eastAsia="zh-CN"/>
              </w:rPr>
            </w:pPr>
            <w:r>
              <w:rPr>
                <w:rFonts w:hint="eastAsia"/>
                <w:lang w:val="zh-CN" w:eastAsia="zh-CN"/>
              </w:rPr>
              <w:t>——基本要求：液态VOCs物料：应采用管道密闭输送。采用非管道输送方式转移液态VOCs物料时，应采用密闭容器、罐车。</w:t>
            </w:r>
          </w:p>
          <w:p>
            <w:pPr>
              <w:ind w:firstLine="480"/>
              <w:rPr>
                <w:lang w:val="zh-CN" w:eastAsia="zh-CN"/>
              </w:rPr>
            </w:pPr>
            <w:r>
              <w:rPr>
                <w:rFonts w:hint="eastAsia"/>
                <w:lang w:val="zh-CN" w:eastAsia="zh-CN"/>
              </w:rPr>
              <w:t>本项目涉VOCs物料均使用瓶装，符合要求。</w:t>
            </w:r>
          </w:p>
          <w:p>
            <w:pPr>
              <w:ind w:firstLine="480"/>
              <w:rPr>
                <w:lang w:val="zh-CN" w:eastAsia="zh-CN"/>
              </w:rPr>
            </w:pPr>
            <w:r>
              <w:rPr>
                <w:rFonts w:hint="eastAsia"/>
                <w:lang w:val="zh-CN" w:eastAsia="zh-CN"/>
              </w:rPr>
              <w:t>项目原料在储存、转移、运输中为密闭状态，不挥发有机废气，因此不对VOCs物料储存、转移和输送无组织排放控制措施进行分析，本评价主要针对工艺过程VOCs</w:t>
            </w:r>
            <w:r>
              <w:rPr>
                <w:rFonts w:hint="eastAsia"/>
                <w:lang w:val="zh-CN"/>
              </w:rPr>
              <w:t>的</w:t>
            </w:r>
            <w:r>
              <w:rPr>
                <w:rFonts w:hint="eastAsia"/>
                <w:lang w:val="zh-CN" w:eastAsia="zh-CN"/>
              </w:rPr>
              <w:t>排放控制措施。</w:t>
            </w:r>
          </w:p>
          <w:p>
            <w:pPr>
              <w:ind w:firstLine="480"/>
              <w:rPr>
                <w:lang w:val="zh-CN" w:eastAsia="zh-CN"/>
              </w:rPr>
            </w:pPr>
            <w:r>
              <w:rPr>
                <w:rFonts w:hint="eastAsia"/>
                <w:lang w:val="zh-CN" w:eastAsia="zh-CN"/>
              </w:rPr>
              <w:t>项目不涉及VOCs物料的生产过程，仅涉及实验过程中使用的乙醇。项目实验过程中产生的VOCs</w:t>
            </w:r>
            <w:r>
              <w:rPr>
                <w:rFonts w:hint="eastAsia"/>
                <w:lang w:val="zh-CN"/>
              </w:rPr>
              <w:t>部分</w:t>
            </w:r>
            <w:r>
              <w:rPr>
                <w:rFonts w:hint="eastAsia"/>
                <w:lang w:val="zh-CN" w:eastAsia="zh-CN"/>
              </w:rPr>
              <w:t>在实验室内无组织排放，可满足VOCs无组织排放控制要求。</w:t>
            </w:r>
          </w:p>
          <w:p>
            <w:pPr>
              <w:ind w:firstLine="480"/>
              <w:rPr>
                <w:lang w:val="zh-CN" w:eastAsia="zh-CN"/>
              </w:rPr>
            </w:pPr>
            <w:r>
              <w:rPr>
                <w:rFonts w:hint="eastAsia"/>
                <w:lang w:val="zh-CN" w:eastAsia="zh-CN"/>
              </w:rPr>
              <w:t>综上所述，本项目采取的控制措施可满足《挥发性有机物无组织排放控制标准》（GB37822-2019）的相关要求，不会对周边环境产生明显不良影响。</w:t>
            </w:r>
          </w:p>
          <w:p>
            <w:pPr>
              <w:pStyle w:val="3"/>
              <w:rPr>
                <w:lang w:val="en-US" w:eastAsia="zh-CN"/>
              </w:rPr>
            </w:pPr>
            <w:bookmarkStart w:id="31" w:name="_Toc121147717"/>
            <w:bookmarkStart w:id="32" w:name="_Toc122338484"/>
            <w:r>
              <w:rPr>
                <w:rFonts w:hint="eastAsia"/>
                <w:lang w:val="en-US" w:eastAsia="zh-CN"/>
              </w:rPr>
              <w:t>产业符合性分析</w:t>
            </w:r>
            <w:bookmarkEnd w:id="28"/>
            <w:bookmarkEnd w:id="31"/>
            <w:bookmarkEnd w:id="32"/>
          </w:p>
          <w:p>
            <w:pPr>
              <w:ind w:firstLine="480"/>
            </w:pPr>
            <w:r>
              <w:rPr>
                <w:rFonts w:hint="eastAsia"/>
              </w:rPr>
              <w:t>本项目属于医学检验室，根据</w:t>
            </w:r>
            <w:r>
              <w:t>《国民经济行业分类》（GB/T4754—2017</w:t>
            </w:r>
            <w:r>
              <w:rPr>
                <w:rFonts w:hint="eastAsia"/>
              </w:rPr>
              <w:t>及2</w:t>
            </w:r>
            <w:r>
              <w:t>019</w:t>
            </w:r>
            <w:r>
              <w:rPr>
                <w:rFonts w:hint="eastAsia"/>
              </w:rPr>
              <w:t>年第1号修改单</w:t>
            </w:r>
            <w:r>
              <w:t>）</w:t>
            </w:r>
            <w:r>
              <w:rPr>
                <w:rFonts w:hint="eastAsia"/>
              </w:rPr>
              <w:t>，</w:t>
            </w:r>
            <w:r>
              <w:t>本项目属于</w:t>
            </w:r>
            <w:r>
              <w:rPr>
                <w:rFonts w:hint="eastAsia"/>
              </w:rPr>
              <w:t>Q8492临床检验服务。本项目所使用设备以及工艺均不属于限制类及淘汰类。因此，本项目属于允许建设类项目。</w:t>
            </w:r>
          </w:p>
          <w:p>
            <w:pPr>
              <w:ind w:firstLine="480"/>
            </w:pPr>
            <w:r>
              <w:t>根据国家发展改革委、商务部印发《市场准入负面清单（202</w:t>
            </w:r>
            <w:r>
              <w:rPr>
                <w:rFonts w:hint="eastAsia"/>
              </w:rPr>
              <w:t>2</w:t>
            </w:r>
            <w:r>
              <w:t>年版）》，</w:t>
            </w:r>
            <w:r>
              <w:rPr>
                <w:rFonts w:hint="eastAsia"/>
              </w:rPr>
              <w:t>本项目不属于禁止准入类和需许可准入类，故</w:t>
            </w:r>
            <w:r>
              <w:t>项目属于允许准入项目。</w:t>
            </w:r>
          </w:p>
          <w:p>
            <w:pPr>
              <w:pStyle w:val="3"/>
              <w:rPr>
                <w:lang w:eastAsia="zh-CN"/>
              </w:rPr>
            </w:pPr>
            <w:bookmarkStart w:id="33" w:name="_Toc120889791"/>
            <w:bookmarkStart w:id="34" w:name="_Toc121147718"/>
            <w:bookmarkStart w:id="35" w:name="_Toc122338485"/>
            <w:r>
              <w:rPr>
                <w:rFonts w:hint="eastAsia"/>
                <w:lang w:eastAsia="zh-CN"/>
              </w:rPr>
              <w:t>选址合理性分析</w:t>
            </w:r>
            <w:bookmarkEnd w:id="33"/>
            <w:bookmarkEnd w:id="34"/>
            <w:bookmarkEnd w:id="35"/>
          </w:p>
          <w:p>
            <w:pPr>
              <w:ind w:firstLine="480"/>
              <w:rPr>
                <w:lang w:val="zh-CN"/>
              </w:rPr>
            </w:pPr>
            <w:r>
              <w:rPr>
                <w:rFonts w:hint="eastAsia"/>
                <w:lang w:val="zh-CN"/>
              </w:rPr>
              <w:t>本项目建设地址为</w:t>
            </w:r>
            <w:r>
              <w:rPr>
                <w:rFonts w:hint="eastAsia"/>
              </w:rPr>
              <w:t>茂名市高新区恒基路99号大院B仓一、二楼及建筑外东侧外延3米范围，地理位置中心坐标为1</w:t>
            </w:r>
            <w:r>
              <w:t>10</w:t>
            </w:r>
            <w:r>
              <w:rPr>
                <w:rFonts w:hint="eastAsia"/>
              </w:rPr>
              <w:t>°</w:t>
            </w:r>
            <w:r>
              <w:t>57</w:t>
            </w:r>
            <w:r>
              <w:rPr>
                <w:rFonts w:hint="eastAsia"/>
              </w:rPr>
              <w:t>′</w:t>
            </w:r>
            <w:r>
              <w:t>48.886</w:t>
            </w:r>
            <w:r>
              <w:rPr>
                <w:rFonts w:hint="eastAsia"/>
              </w:rPr>
              <w:t>″E，2</w:t>
            </w:r>
            <w:r>
              <w:t>1</w:t>
            </w:r>
            <w:r>
              <w:rPr>
                <w:rFonts w:hint="eastAsia"/>
              </w:rPr>
              <w:t>°</w:t>
            </w:r>
            <w:r>
              <w:t>35</w:t>
            </w:r>
            <w:r>
              <w:rPr>
                <w:rFonts w:hint="eastAsia"/>
              </w:rPr>
              <w:t>′</w:t>
            </w:r>
            <w:r>
              <w:t>26.963</w:t>
            </w:r>
            <w:r>
              <w:rPr>
                <w:rFonts w:hint="eastAsia"/>
              </w:rPr>
              <w:t>″N，根据建设单位提供的土地使用证明（附件3）可知，项目用地的性质为工业用地，符合规划要求。</w:t>
            </w:r>
          </w:p>
          <w:p>
            <w:pPr>
              <w:pStyle w:val="3"/>
            </w:pPr>
            <w:bookmarkStart w:id="36" w:name="_Toc121147719"/>
            <w:bookmarkStart w:id="37" w:name="_Toc122338486"/>
            <w:r>
              <w:rPr>
                <w:rFonts w:hint="eastAsia"/>
              </w:rPr>
              <w:t>与《生物安全实验室建筑技术规范》（GB50346-2011）的相符性分析</w:t>
            </w:r>
            <w:bookmarkEnd w:id="36"/>
            <w:bookmarkEnd w:id="37"/>
          </w:p>
          <w:p>
            <w:pPr>
              <w:pStyle w:val="304"/>
              <w:ind w:firstLine="480"/>
            </w:pPr>
            <w:r>
              <w:rPr>
                <w:rFonts w:hint="eastAsia"/>
              </w:rPr>
              <w:t>根据《生物安全实验室建筑技术规范》（GB50346-2011），P2生物实验室建设要求如下。</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1.10</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w:t>
            </w:r>
            <w:r>
              <w:t xml:space="preserve"> </w:t>
            </w:r>
            <w:r>
              <w:rPr>
                <w:rFonts w:hint="eastAsia"/>
              </w:rPr>
              <w:t>P2实验室建设要求一览表</w:t>
            </w:r>
          </w:p>
          <w:tbl>
            <w:tblPr>
              <w:tblStyle w:val="36"/>
              <w:tblW w:w="4997" w:type="pct"/>
              <w:tblInd w:w="0" w:type="dxa"/>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408"/>
              <w:gridCol w:w="722"/>
              <w:gridCol w:w="3264"/>
              <w:gridCol w:w="2491"/>
              <w:gridCol w:w="728"/>
            </w:tblGrid>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tcMar>
                    <w:top w:w="0" w:type="dxa"/>
                    <w:left w:w="85" w:type="dxa"/>
                    <w:bottom w:w="0" w:type="dxa"/>
                    <w:right w:w="85" w:type="dxa"/>
                  </w:tcMar>
                  <w:vAlign w:val="center"/>
                </w:tcPr>
                <w:p>
                  <w:pPr>
                    <w:pStyle w:val="66"/>
                  </w:pPr>
                  <w:r>
                    <w:t>序号</w:t>
                  </w:r>
                </w:p>
              </w:tc>
              <w:tc>
                <w:tcPr>
                  <w:tcW w:w="474" w:type="pct"/>
                  <w:tcMar>
                    <w:top w:w="0" w:type="dxa"/>
                    <w:left w:w="85" w:type="dxa"/>
                    <w:bottom w:w="0" w:type="dxa"/>
                    <w:right w:w="85" w:type="dxa"/>
                  </w:tcMar>
                  <w:vAlign w:val="center"/>
                </w:tcPr>
                <w:p>
                  <w:pPr>
                    <w:pStyle w:val="66"/>
                  </w:pPr>
                  <w:r>
                    <w:t>控制环节</w:t>
                  </w:r>
                </w:p>
              </w:tc>
              <w:tc>
                <w:tcPr>
                  <w:tcW w:w="2144" w:type="pct"/>
                  <w:tcMar>
                    <w:top w:w="0" w:type="dxa"/>
                    <w:left w:w="85" w:type="dxa"/>
                    <w:bottom w:w="0" w:type="dxa"/>
                    <w:right w:w="85" w:type="dxa"/>
                  </w:tcMar>
                  <w:vAlign w:val="center"/>
                </w:tcPr>
                <w:p>
                  <w:pPr>
                    <w:pStyle w:val="66"/>
                  </w:pPr>
                  <w:r>
                    <w:t>建设要求</w:t>
                  </w:r>
                </w:p>
              </w:tc>
              <w:tc>
                <w:tcPr>
                  <w:tcW w:w="1636" w:type="pct"/>
                  <w:tcMar>
                    <w:top w:w="0" w:type="dxa"/>
                    <w:left w:w="85" w:type="dxa"/>
                    <w:bottom w:w="0" w:type="dxa"/>
                    <w:right w:w="85" w:type="dxa"/>
                  </w:tcMar>
                  <w:vAlign w:val="center"/>
                </w:tcPr>
                <w:p>
                  <w:pPr>
                    <w:pStyle w:val="66"/>
                  </w:pPr>
                  <w:r>
                    <w:t>本项目情况</w:t>
                  </w:r>
                </w:p>
              </w:tc>
              <w:tc>
                <w:tcPr>
                  <w:tcW w:w="478" w:type="pct"/>
                  <w:tcMar>
                    <w:top w:w="0" w:type="dxa"/>
                    <w:left w:w="85" w:type="dxa"/>
                    <w:bottom w:w="0" w:type="dxa"/>
                    <w:right w:w="85" w:type="dxa"/>
                  </w:tcMar>
                  <w:vAlign w:val="center"/>
                </w:tcPr>
                <w:p>
                  <w:pPr>
                    <w:pStyle w:val="66"/>
                  </w:pPr>
                  <w:r>
                    <w:t>符合性</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restart"/>
                  <w:tcMar>
                    <w:top w:w="0" w:type="dxa"/>
                    <w:left w:w="85" w:type="dxa"/>
                    <w:bottom w:w="0" w:type="dxa"/>
                    <w:right w:w="85" w:type="dxa"/>
                  </w:tcMar>
                  <w:vAlign w:val="center"/>
                </w:tcPr>
                <w:p>
                  <w:pPr>
                    <w:pStyle w:val="66"/>
                  </w:pPr>
                  <w:r>
                    <w:t>1</w:t>
                  </w:r>
                </w:p>
              </w:tc>
              <w:tc>
                <w:tcPr>
                  <w:tcW w:w="474" w:type="pct"/>
                  <w:vMerge w:val="restart"/>
                  <w:tcMar>
                    <w:top w:w="0" w:type="dxa"/>
                    <w:left w:w="85" w:type="dxa"/>
                    <w:bottom w:w="0" w:type="dxa"/>
                    <w:right w:w="85" w:type="dxa"/>
                  </w:tcMar>
                  <w:vAlign w:val="center"/>
                </w:tcPr>
                <w:p>
                  <w:pPr>
                    <w:pStyle w:val="66"/>
                  </w:pPr>
                  <w:r>
                    <w:t>主要技术指标</w:t>
                  </w:r>
                </w:p>
              </w:tc>
              <w:tc>
                <w:tcPr>
                  <w:tcW w:w="2144" w:type="pct"/>
                  <w:tcMar>
                    <w:top w:w="0" w:type="dxa"/>
                    <w:left w:w="85" w:type="dxa"/>
                    <w:bottom w:w="0" w:type="dxa"/>
                    <w:right w:w="85" w:type="dxa"/>
                  </w:tcMar>
                  <w:vAlign w:val="center"/>
                </w:tcPr>
                <w:p>
                  <w:pPr>
                    <w:pStyle w:val="66"/>
                  </w:pPr>
                  <w:r>
                    <w:t>洁净度：无要求；</w:t>
                  </w:r>
                </w:p>
              </w:tc>
              <w:tc>
                <w:tcPr>
                  <w:tcW w:w="1636" w:type="pct"/>
                  <w:tcMar>
                    <w:top w:w="0" w:type="dxa"/>
                    <w:left w:w="85" w:type="dxa"/>
                    <w:bottom w:w="0" w:type="dxa"/>
                    <w:right w:w="85" w:type="dxa"/>
                  </w:tcMar>
                  <w:vAlign w:val="center"/>
                </w:tcPr>
                <w:p>
                  <w:pPr>
                    <w:pStyle w:val="66"/>
                  </w:pPr>
                  <w:r>
                    <w:t>/</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66"/>
                  </w:pPr>
                  <w:r>
                    <w:t>最小换气次数：可开窗通风；</w:t>
                  </w:r>
                </w:p>
              </w:tc>
              <w:tc>
                <w:tcPr>
                  <w:tcW w:w="1636" w:type="pct"/>
                  <w:tcMar>
                    <w:top w:w="0" w:type="dxa"/>
                    <w:left w:w="85" w:type="dxa"/>
                    <w:bottom w:w="0" w:type="dxa"/>
                    <w:right w:w="85" w:type="dxa"/>
                  </w:tcMar>
                  <w:vAlign w:val="center"/>
                </w:tcPr>
                <w:p>
                  <w:pPr>
                    <w:pStyle w:val="66"/>
                  </w:pPr>
                  <w:r>
                    <w:t>/</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66"/>
                  </w:pPr>
                  <w:r>
                    <w:t>与室外方向相邻相通房间的压差：无要求；</w:t>
                  </w:r>
                </w:p>
              </w:tc>
              <w:tc>
                <w:tcPr>
                  <w:tcW w:w="1636" w:type="pct"/>
                  <w:tcMar>
                    <w:top w:w="0" w:type="dxa"/>
                    <w:left w:w="85" w:type="dxa"/>
                    <w:bottom w:w="0" w:type="dxa"/>
                    <w:right w:w="85" w:type="dxa"/>
                  </w:tcMar>
                  <w:vAlign w:val="center"/>
                </w:tcPr>
                <w:p>
                  <w:pPr>
                    <w:pStyle w:val="66"/>
                  </w:pPr>
                  <w:r>
                    <w:t>/</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66"/>
                  </w:pPr>
                  <w:r>
                    <w:t>温度℃：18~27</w:t>
                  </w:r>
                </w:p>
              </w:tc>
              <w:tc>
                <w:tcPr>
                  <w:tcW w:w="1636" w:type="pct"/>
                  <w:tcMar>
                    <w:top w:w="0" w:type="dxa"/>
                    <w:left w:w="85" w:type="dxa"/>
                    <w:bottom w:w="0" w:type="dxa"/>
                    <w:right w:w="85" w:type="dxa"/>
                  </w:tcMar>
                  <w:vAlign w:val="center"/>
                </w:tcPr>
                <w:p>
                  <w:pPr>
                    <w:pStyle w:val="66"/>
                  </w:pPr>
                  <w:r>
                    <w:t>温度20~25℃</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66"/>
                  </w:pPr>
                  <w:r>
                    <w:t>相对湿度%：30~70</w:t>
                  </w:r>
                </w:p>
              </w:tc>
              <w:tc>
                <w:tcPr>
                  <w:tcW w:w="1636" w:type="pct"/>
                  <w:tcMar>
                    <w:top w:w="0" w:type="dxa"/>
                    <w:left w:w="85" w:type="dxa"/>
                    <w:bottom w:w="0" w:type="dxa"/>
                    <w:right w:w="85" w:type="dxa"/>
                  </w:tcMar>
                  <w:vAlign w:val="center"/>
                </w:tcPr>
                <w:p>
                  <w:pPr>
                    <w:pStyle w:val="66"/>
                  </w:pPr>
                  <w:r>
                    <w:t>相对湿度40~60%</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66"/>
                  </w:pPr>
                  <w:r>
                    <w:t>噪声dB（A）：≤60</w:t>
                  </w:r>
                </w:p>
              </w:tc>
              <w:tc>
                <w:tcPr>
                  <w:tcW w:w="1636" w:type="pct"/>
                  <w:tcMar>
                    <w:top w:w="0" w:type="dxa"/>
                    <w:left w:w="85" w:type="dxa"/>
                    <w:bottom w:w="0" w:type="dxa"/>
                    <w:right w:w="85" w:type="dxa"/>
                  </w:tcMar>
                  <w:vAlign w:val="center"/>
                </w:tcPr>
                <w:p>
                  <w:pPr>
                    <w:pStyle w:val="66"/>
                  </w:pPr>
                  <w:r>
                    <w:t>噪声≤60dB（A）</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66"/>
                  </w:pPr>
                  <w:r>
                    <w:t>最低照度lx：300</w:t>
                  </w:r>
                </w:p>
              </w:tc>
              <w:tc>
                <w:tcPr>
                  <w:tcW w:w="1636" w:type="pct"/>
                  <w:tcMar>
                    <w:top w:w="0" w:type="dxa"/>
                    <w:left w:w="85" w:type="dxa"/>
                    <w:bottom w:w="0" w:type="dxa"/>
                    <w:right w:w="85" w:type="dxa"/>
                  </w:tcMar>
                  <w:vAlign w:val="center"/>
                </w:tcPr>
                <w:p>
                  <w:pPr>
                    <w:pStyle w:val="66"/>
                  </w:pPr>
                  <w:r>
                    <w:t>最低照度</w:t>
                  </w:r>
                  <w:r>
                    <w:rPr>
                      <w:rFonts w:hint="eastAsia"/>
                    </w:rPr>
                    <w:t>：</w:t>
                  </w:r>
                  <w:r>
                    <w:t>300xl</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restart"/>
                  <w:tcMar>
                    <w:top w:w="0" w:type="dxa"/>
                    <w:left w:w="85" w:type="dxa"/>
                    <w:bottom w:w="0" w:type="dxa"/>
                    <w:right w:w="85" w:type="dxa"/>
                  </w:tcMar>
                  <w:vAlign w:val="center"/>
                </w:tcPr>
                <w:p>
                  <w:pPr>
                    <w:pStyle w:val="66"/>
                  </w:pPr>
                  <w:r>
                    <w:t>2</w:t>
                  </w:r>
                </w:p>
              </w:tc>
              <w:tc>
                <w:tcPr>
                  <w:tcW w:w="474" w:type="pct"/>
                  <w:vMerge w:val="restart"/>
                  <w:tcMar>
                    <w:top w:w="0" w:type="dxa"/>
                    <w:left w:w="85" w:type="dxa"/>
                    <w:bottom w:w="0" w:type="dxa"/>
                    <w:right w:w="85" w:type="dxa"/>
                  </w:tcMar>
                  <w:vAlign w:val="center"/>
                </w:tcPr>
                <w:p>
                  <w:pPr>
                    <w:pStyle w:val="66"/>
                  </w:pPr>
                  <w:r>
                    <w:t>建筑、结构和装修</w:t>
                  </w:r>
                </w:p>
              </w:tc>
              <w:tc>
                <w:tcPr>
                  <w:tcW w:w="2144" w:type="pct"/>
                  <w:tcMar>
                    <w:top w:w="0" w:type="dxa"/>
                    <w:left w:w="85" w:type="dxa"/>
                    <w:bottom w:w="0" w:type="dxa"/>
                    <w:right w:w="85" w:type="dxa"/>
                  </w:tcMar>
                  <w:vAlign w:val="center"/>
                </w:tcPr>
                <w:p>
                  <w:pPr>
                    <w:pStyle w:val="15"/>
                    <w:jc w:val="left"/>
                    <w:rPr>
                      <w:szCs w:val="21"/>
                    </w:rPr>
                  </w:pPr>
                  <w:r>
                    <w:rPr>
                      <w:szCs w:val="21"/>
                    </w:rPr>
                    <w:t>平面位置：可共用建筑物，与建筑物其他部分可相通，但应设可自动关闭的带锁的门。</w:t>
                  </w:r>
                </w:p>
              </w:tc>
              <w:tc>
                <w:tcPr>
                  <w:tcW w:w="1636" w:type="pct"/>
                  <w:tcMar>
                    <w:top w:w="0" w:type="dxa"/>
                    <w:left w:w="85" w:type="dxa"/>
                    <w:bottom w:w="0" w:type="dxa"/>
                    <w:right w:w="85" w:type="dxa"/>
                  </w:tcMar>
                  <w:vAlign w:val="center"/>
                </w:tcPr>
                <w:p>
                  <w:pPr>
                    <w:pStyle w:val="15"/>
                    <w:jc w:val="left"/>
                    <w:rPr>
                      <w:szCs w:val="21"/>
                    </w:rPr>
                  </w:pPr>
                  <w:r>
                    <w:rPr>
                      <w:rFonts w:hint="eastAsia"/>
                      <w:szCs w:val="21"/>
                    </w:rPr>
                    <w:t>平面位置不共用建筑物</w:t>
                  </w:r>
                  <w:r>
                    <w:rPr>
                      <w:szCs w:val="21"/>
                    </w:rPr>
                    <w:t>，项目设有可自动关闭的带锁的门。</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15"/>
                    <w:jc w:val="left"/>
                    <w:rPr>
                      <w:szCs w:val="21"/>
                    </w:rPr>
                  </w:pPr>
                  <w:r>
                    <w:rPr>
                      <w:szCs w:val="21"/>
                    </w:rPr>
                    <w:t>选址和建筑间距：无要求。</w:t>
                  </w:r>
                </w:p>
              </w:tc>
              <w:tc>
                <w:tcPr>
                  <w:tcW w:w="1636" w:type="pct"/>
                  <w:tcMar>
                    <w:top w:w="0" w:type="dxa"/>
                    <w:left w:w="85" w:type="dxa"/>
                    <w:bottom w:w="0" w:type="dxa"/>
                    <w:right w:w="85" w:type="dxa"/>
                  </w:tcMar>
                  <w:vAlign w:val="center"/>
                </w:tcPr>
                <w:p>
                  <w:pPr>
                    <w:pStyle w:val="15"/>
                    <w:jc w:val="left"/>
                    <w:rPr>
                      <w:szCs w:val="21"/>
                    </w:rPr>
                  </w:pPr>
                  <w:r>
                    <w:rPr>
                      <w:szCs w:val="21"/>
                    </w:rPr>
                    <w:t>/</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15"/>
                    <w:jc w:val="left"/>
                    <w:rPr>
                      <w:szCs w:val="21"/>
                    </w:rPr>
                  </w:pPr>
                  <w:r>
                    <w:rPr>
                      <w:rFonts w:hint="eastAsia"/>
                      <w:szCs w:val="21"/>
                    </w:rPr>
                    <w:t>生</w:t>
                  </w:r>
                  <w:r>
                    <w:rPr>
                      <w:szCs w:val="21"/>
                    </w:rPr>
                    <w:t>物安全实验室应在入口处设置更衣室或更衣柜。</w:t>
                  </w:r>
                </w:p>
              </w:tc>
              <w:tc>
                <w:tcPr>
                  <w:tcW w:w="1636" w:type="pct"/>
                  <w:tcMar>
                    <w:top w:w="0" w:type="dxa"/>
                    <w:left w:w="85" w:type="dxa"/>
                    <w:bottom w:w="0" w:type="dxa"/>
                    <w:right w:w="85" w:type="dxa"/>
                  </w:tcMar>
                  <w:vAlign w:val="center"/>
                </w:tcPr>
                <w:p>
                  <w:pPr>
                    <w:pStyle w:val="15"/>
                    <w:jc w:val="left"/>
                    <w:rPr>
                      <w:szCs w:val="21"/>
                    </w:rPr>
                  </w:pPr>
                  <w:r>
                    <w:rPr>
                      <w:szCs w:val="21"/>
                    </w:rPr>
                    <w:t>项目实验区入口处设有更衣室。</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15"/>
                    <w:jc w:val="left"/>
                    <w:rPr>
                      <w:szCs w:val="21"/>
                    </w:rPr>
                  </w:pPr>
                  <w:r>
                    <w:rPr>
                      <w:szCs w:val="21"/>
                    </w:rPr>
                    <w:t>二级生物安全实验室应在实验室或实验室所在建筑内配备高压灭菌器或其他消毒灭菌设备</w:t>
                  </w:r>
                  <w:r>
                    <w:rPr>
                      <w:rFonts w:hint="eastAsia"/>
                      <w:szCs w:val="21"/>
                    </w:rPr>
                    <w:t>。</w:t>
                  </w:r>
                </w:p>
              </w:tc>
              <w:tc>
                <w:tcPr>
                  <w:tcW w:w="1636" w:type="pct"/>
                  <w:tcMar>
                    <w:top w:w="0" w:type="dxa"/>
                    <w:left w:w="85" w:type="dxa"/>
                    <w:bottom w:w="0" w:type="dxa"/>
                    <w:right w:w="85" w:type="dxa"/>
                  </w:tcMar>
                  <w:vAlign w:val="center"/>
                </w:tcPr>
                <w:p>
                  <w:pPr>
                    <w:pStyle w:val="15"/>
                    <w:jc w:val="left"/>
                    <w:rPr>
                      <w:szCs w:val="21"/>
                    </w:rPr>
                  </w:pPr>
                  <w:r>
                    <w:rPr>
                      <w:szCs w:val="21"/>
                    </w:rPr>
                    <w:t>项目实验室设有高压灭菌</w:t>
                  </w:r>
                  <w:r>
                    <w:rPr>
                      <w:rFonts w:hint="eastAsia"/>
                      <w:szCs w:val="21"/>
                      <w:lang w:eastAsia="zh-CN"/>
                    </w:rPr>
                    <w:t>锅</w:t>
                  </w:r>
                  <w:r>
                    <w:rPr>
                      <w:szCs w:val="21"/>
                    </w:rPr>
                    <w:t>放置于灭菌间。</w:t>
                  </w:r>
                </w:p>
              </w:tc>
              <w:tc>
                <w:tcPr>
                  <w:tcW w:w="478" w:type="pct"/>
                  <w:tcMar>
                    <w:top w:w="0" w:type="dxa"/>
                    <w:left w:w="85" w:type="dxa"/>
                    <w:bottom w:w="0" w:type="dxa"/>
                    <w:right w:w="85" w:type="dxa"/>
                  </w:tcMar>
                  <w:vAlign w:val="center"/>
                </w:tcPr>
                <w:p>
                  <w:pPr>
                    <w:pStyle w:val="66"/>
                  </w:pPr>
                </w:p>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15"/>
                    <w:jc w:val="left"/>
                    <w:rPr>
                      <w:szCs w:val="21"/>
                    </w:rPr>
                  </w:pPr>
                  <w:r>
                    <w:rPr>
                      <w:szCs w:val="21"/>
                    </w:rPr>
                    <w:t>二级生物安全实验室主入口的门和动物饲养间的门、放置生物安全柜实验间的门应能自动关闭，实验室门应设置观察窗，并应设置门锁。当实验室有压力要求时，实验室的门宜开向相对压力要求高的房间侧。缓冲间的门应能单向锁定。</w:t>
                  </w:r>
                </w:p>
              </w:tc>
              <w:tc>
                <w:tcPr>
                  <w:tcW w:w="1636" w:type="pct"/>
                  <w:tcMar>
                    <w:top w:w="0" w:type="dxa"/>
                    <w:left w:w="85" w:type="dxa"/>
                    <w:bottom w:w="0" w:type="dxa"/>
                    <w:right w:w="85" w:type="dxa"/>
                  </w:tcMar>
                  <w:vAlign w:val="center"/>
                </w:tcPr>
                <w:p>
                  <w:pPr>
                    <w:pStyle w:val="15"/>
                    <w:jc w:val="left"/>
                    <w:rPr>
                      <w:szCs w:val="21"/>
                    </w:rPr>
                  </w:pPr>
                  <w:r>
                    <w:rPr>
                      <w:szCs w:val="21"/>
                    </w:rPr>
                    <w:t>项目实验室主入口的门、放置生物安全柜实验间的门能自动关闭，实验室门均设置观察窗，并设置门锁。当实验室有压力要求时，实验室的门开向相对压力要求高的房间侧。缓冲间的门能单向锁定。</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15"/>
                    <w:jc w:val="left"/>
                    <w:rPr>
                      <w:szCs w:val="21"/>
                    </w:rPr>
                  </w:pPr>
                  <w:r>
                    <w:rPr>
                      <w:szCs w:val="21"/>
                    </w:rPr>
                    <w:t>二级生物安全实验室的入口，应明确标示出生物防护级别、操作的致病性生物因子、实验室负责人姓名、紧急联络方式等，并应标示出国际通用生物危险符号。</w:t>
                  </w:r>
                </w:p>
              </w:tc>
              <w:tc>
                <w:tcPr>
                  <w:tcW w:w="1636" w:type="pct"/>
                  <w:tcMar>
                    <w:top w:w="0" w:type="dxa"/>
                    <w:left w:w="85" w:type="dxa"/>
                    <w:bottom w:w="0" w:type="dxa"/>
                    <w:right w:w="85" w:type="dxa"/>
                  </w:tcMar>
                  <w:vAlign w:val="center"/>
                </w:tcPr>
                <w:p>
                  <w:pPr>
                    <w:pStyle w:val="15"/>
                    <w:jc w:val="left"/>
                    <w:rPr>
                      <w:szCs w:val="21"/>
                    </w:rPr>
                  </w:pPr>
                  <w:r>
                    <w:rPr>
                      <w:szCs w:val="21"/>
                    </w:rPr>
                    <w:t>项目实验室的入口将明确标示出生物防护级别、操作的致病性生物因子、实验室负责人姓名、紧急联络方式等，并应标示出国际通用生物危险符号。</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restart"/>
                  <w:tcMar>
                    <w:top w:w="0" w:type="dxa"/>
                    <w:left w:w="85" w:type="dxa"/>
                    <w:bottom w:w="0" w:type="dxa"/>
                    <w:right w:w="85" w:type="dxa"/>
                  </w:tcMar>
                  <w:vAlign w:val="center"/>
                </w:tcPr>
                <w:p>
                  <w:pPr>
                    <w:pStyle w:val="66"/>
                  </w:pPr>
                  <w:r>
                    <w:t>3</w:t>
                  </w:r>
                </w:p>
              </w:tc>
              <w:tc>
                <w:tcPr>
                  <w:tcW w:w="474" w:type="pct"/>
                  <w:vMerge w:val="restart"/>
                  <w:tcMar>
                    <w:top w:w="0" w:type="dxa"/>
                    <w:left w:w="85" w:type="dxa"/>
                    <w:bottom w:w="0" w:type="dxa"/>
                    <w:right w:w="85" w:type="dxa"/>
                  </w:tcMar>
                  <w:vAlign w:val="center"/>
                </w:tcPr>
                <w:p>
                  <w:pPr>
                    <w:pStyle w:val="66"/>
                  </w:pPr>
                  <w:r>
                    <w:t>空调、通风和净化</w:t>
                  </w:r>
                </w:p>
              </w:tc>
              <w:tc>
                <w:tcPr>
                  <w:tcW w:w="2144" w:type="pct"/>
                  <w:tcMar>
                    <w:top w:w="0" w:type="dxa"/>
                    <w:left w:w="85" w:type="dxa"/>
                    <w:bottom w:w="0" w:type="dxa"/>
                    <w:right w:w="85" w:type="dxa"/>
                  </w:tcMar>
                  <w:vAlign w:val="center"/>
                </w:tcPr>
                <w:p>
                  <w:pPr>
                    <w:pStyle w:val="15"/>
                    <w:jc w:val="left"/>
                    <w:rPr>
                      <w:szCs w:val="21"/>
                    </w:rPr>
                  </w:pPr>
                  <w:r>
                    <w:rPr>
                      <w:rFonts w:hint="eastAsia"/>
                      <w:szCs w:val="21"/>
                    </w:rPr>
                    <w:t>生</w:t>
                  </w:r>
                  <w:r>
                    <w:rPr>
                      <w:szCs w:val="21"/>
                    </w:rPr>
                    <w:t>物安全实验室可按表5.1.4的原则选用生物安全柜。</w:t>
                  </w:r>
                </w:p>
              </w:tc>
              <w:tc>
                <w:tcPr>
                  <w:tcW w:w="1636" w:type="pct"/>
                  <w:tcMar>
                    <w:top w:w="0" w:type="dxa"/>
                    <w:left w:w="85" w:type="dxa"/>
                    <w:bottom w:w="0" w:type="dxa"/>
                    <w:right w:w="85" w:type="dxa"/>
                  </w:tcMar>
                  <w:vAlign w:val="center"/>
                </w:tcPr>
                <w:p>
                  <w:pPr>
                    <w:pStyle w:val="15"/>
                    <w:jc w:val="left"/>
                    <w:rPr>
                      <w:szCs w:val="21"/>
                    </w:rPr>
                  </w:pPr>
                  <w:r>
                    <w:rPr>
                      <w:szCs w:val="21"/>
                    </w:rPr>
                    <w:t>项目实验室选用Ⅱ级生物安全柜。</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15"/>
                    <w:jc w:val="left"/>
                    <w:rPr>
                      <w:szCs w:val="21"/>
                    </w:rPr>
                  </w:pPr>
                  <w:r>
                    <w:rPr>
                      <w:szCs w:val="21"/>
                    </w:rPr>
                    <w:t>为满足P2实验室温湿度要求，宜配备机械空调通风系统</w:t>
                  </w:r>
                  <w:r>
                    <w:rPr>
                      <w:rFonts w:hint="eastAsia"/>
                      <w:szCs w:val="21"/>
                    </w:rPr>
                    <w:t>。</w:t>
                  </w:r>
                </w:p>
              </w:tc>
              <w:tc>
                <w:tcPr>
                  <w:tcW w:w="1636" w:type="pct"/>
                  <w:tcMar>
                    <w:top w:w="0" w:type="dxa"/>
                    <w:left w:w="85" w:type="dxa"/>
                    <w:bottom w:w="0" w:type="dxa"/>
                    <w:right w:w="85" w:type="dxa"/>
                  </w:tcMar>
                  <w:vAlign w:val="center"/>
                </w:tcPr>
                <w:p>
                  <w:pPr>
                    <w:pStyle w:val="15"/>
                    <w:jc w:val="left"/>
                    <w:rPr>
                      <w:szCs w:val="21"/>
                    </w:rPr>
                  </w:pPr>
                  <w:r>
                    <w:rPr>
                      <w:szCs w:val="21"/>
                    </w:rPr>
                    <w:t>项目实验室配备机械空调通风系统</w:t>
                  </w:r>
                  <w:r>
                    <w:rPr>
                      <w:rFonts w:hint="eastAsia"/>
                      <w:szCs w:val="21"/>
                    </w:rPr>
                    <w:t>。</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15"/>
                    <w:jc w:val="left"/>
                    <w:rPr>
                      <w:szCs w:val="21"/>
                    </w:rPr>
                  </w:pPr>
                  <w:r>
                    <w:rPr>
                      <w:szCs w:val="21"/>
                    </w:rPr>
                    <w:t>实验室内各种设备的位置应有利于气流由“清洁”空间向“污染”空间流动，最大限度减少室内回流与漏流（生物安全柜一般应置于室内气流最下游，即最远离送风口处）</w:t>
                  </w:r>
                  <w:r>
                    <w:rPr>
                      <w:rFonts w:hint="eastAsia"/>
                      <w:szCs w:val="21"/>
                    </w:rPr>
                    <w:t>。</w:t>
                  </w:r>
                </w:p>
              </w:tc>
              <w:tc>
                <w:tcPr>
                  <w:tcW w:w="1636" w:type="pct"/>
                  <w:tcMar>
                    <w:top w:w="0" w:type="dxa"/>
                    <w:left w:w="85" w:type="dxa"/>
                    <w:bottom w:w="0" w:type="dxa"/>
                    <w:right w:w="85" w:type="dxa"/>
                  </w:tcMar>
                  <w:vAlign w:val="center"/>
                </w:tcPr>
                <w:p>
                  <w:pPr>
                    <w:pStyle w:val="15"/>
                    <w:jc w:val="left"/>
                    <w:rPr>
                      <w:szCs w:val="21"/>
                    </w:rPr>
                  </w:pPr>
                  <w:r>
                    <w:rPr>
                      <w:szCs w:val="21"/>
                    </w:rPr>
                    <w:t>项目实验室内各种设备的位置有利于气流由“清洁”空间向“污染”空间流动，最大限度减少室内回流与漏流（生物安全柜置于室内气流最下游，即最远离送风口处）。</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restart"/>
                  <w:tcMar>
                    <w:top w:w="0" w:type="dxa"/>
                    <w:left w:w="85" w:type="dxa"/>
                    <w:bottom w:w="0" w:type="dxa"/>
                    <w:right w:w="85" w:type="dxa"/>
                  </w:tcMar>
                  <w:vAlign w:val="center"/>
                </w:tcPr>
                <w:p>
                  <w:pPr>
                    <w:pStyle w:val="66"/>
                  </w:pPr>
                  <w:r>
                    <w:t>4</w:t>
                  </w:r>
                </w:p>
              </w:tc>
              <w:tc>
                <w:tcPr>
                  <w:tcW w:w="474" w:type="pct"/>
                  <w:vMerge w:val="restart"/>
                  <w:tcMar>
                    <w:top w:w="0" w:type="dxa"/>
                    <w:left w:w="85" w:type="dxa"/>
                    <w:bottom w:w="0" w:type="dxa"/>
                    <w:right w:w="85" w:type="dxa"/>
                  </w:tcMar>
                  <w:vAlign w:val="center"/>
                </w:tcPr>
                <w:p>
                  <w:pPr>
                    <w:pStyle w:val="66"/>
                  </w:pPr>
                  <w:r>
                    <w:t>给水排水与气体供应</w:t>
                  </w:r>
                </w:p>
              </w:tc>
              <w:tc>
                <w:tcPr>
                  <w:tcW w:w="2144" w:type="pct"/>
                  <w:tcMar>
                    <w:top w:w="0" w:type="dxa"/>
                    <w:left w:w="85" w:type="dxa"/>
                    <w:bottom w:w="0" w:type="dxa"/>
                    <w:right w:w="85" w:type="dxa"/>
                  </w:tcMar>
                  <w:vAlign w:val="center"/>
                </w:tcPr>
                <w:p>
                  <w:pPr>
                    <w:pStyle w:val="15"/>
                    <w:jc w:val="left"/>
                    <w:rPr>
                      <w:szCs w:val="21"/>
                    </w:rPr>
                  </w:pPr>
                  <w:r>
                    <w:rPr>
                      <w:szCs w:val="21"/>
                    </w:rPr>
                    <w:t>生物安全实验室的给水排水干管、气体管道的干管，应敷设在技术夹层内。生物安全实验室防护区应少敷设管道，与本区域无关管道不应穿越。</w:t>
                  </w:r>
                </w:p>
              </w:tc>
              <w:tc>
                <w:tcPr>
                  <w:tcW w:w="1636" w:type="pct"/>
                  <w:tcMar>
                    <w:top w:w="0" w:type="dxa"/>
                    <w:left w:w="85" w:type="dxa"/>
                    <w:bottom w:w="0" w:type="dxa"/>
                    <w:right w:w="85" w:type="dxa"/>
                  </w:tcMar>
                  <w:vAlign w:val="center"/>
                </w:tcPr>
                <w:p>
                  <w:pPr>
                    <w:pStyle w:val="15"/>
                    <w:jc w:val="left"/>
                    <w:rPr>
                      <w:szCs w:val="21"/>
                    </w:rPr>
                  </w:pPr>
                  <w:r>
                    <w:rPr>
                      <w:szCs w:val="21"/>
                    </w:rPr>
                    <w:t>项目实验室的给水排水管道均敷设在技术夹层内。</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15"/>
                    <w:jc w:val="left"/>
                    <w:rPr>
                      <w:szCs w:val="21"/>
                    </w:rPr>
                  </w:pPr>
                  <w:r>
                    <w:rPr>
                      <w:szCs w:val="21"/>
                    </w:rPr>
                    <w:t>二级生物安全实验室应设洗手装置，并宜设置在靠近实验室的出口处。</w:t>
                  </w:r>
                </w:p>
              </w:tc>
              <w:tc>
                <w:tcPr>
                  <w:tcW w:w="1636" w:type="pct"/>
                  <w:tcMar>
                    <w:top w:w="0" w:type="dxa"/>
                    <w:left w:w="85" w:type="dxa"/>
                    <w:bottom w:w="0" w:type="dxa"/>
                    <w:right w:w="85" w:type="dxa"/>
                  </w:tcMar>
                  <w:vAlign w:val="center"/>
                </w:tcPr>
                <w:p>
                  <w:pPr>
                    <w:pStyle w:val="15"/>
                    <w:jc w:val="left"/>
                    <w:rPr>
                      <w:szCs w:val="21"/>
                    </w:rPr>
                  </w:pPr>
                  <w:r>
                    <w:rPr>
                      <w:szCs w:val="21"/>
                    </w:rPr>
                    <w:t>项目实验室设置洗手装置，并设置在靠近实验室的出口处。</w:t>
                  </w:r>
                </w:p>
              </w:tc>
              <w:tc>
                <w:tcPr>
                  <w:tcW w:w="478" w:type="pct"/>
                  <w:tcMar>
                    <w:top w:w="0" w:type="dxa"/>
                    <w:left w:w="85" w:type="dxa"/>
                    <w:bottom w:w="0" w:type="dxa"/>
                    <w:right w:w="85" w:type="dxa"/>
                  </w:tcMar>
                  <w:vAlign w:val="center"/>
                </w:tcPr>
                <w:p>
                  <w:pPr>
                    <w:pStyle w:val="66"/>
                  </w:pPr>
                  <w:r>
                    <w:t>符合</w:t>
                  </w:r>
                </w:p>
              </w:tc>
            </w:tr>
            <w:tr>
              <w:tblPrEx>
                <w:tblBorders>
                  <w:top w:val="single" w:color="000000" w:sz="8" w:space="0"/>
                  <w:left w:val="single" w:color="000000" w:sz="4" w:space="0"/>
                  <w:bottom w:val="single" w:color="000000" w:sz="8" w:space="0"/>
                  <w:right w:val="single" w:color="000000" w:sz="8" w:space="0"/>
                  <w:insideH w:val="single" w:color="000000" w:sz="8" w:space="0"/>
                  <w:insideV w:val="single" w:color="000000" w:sz="8" w:space="0"/>
                </w:tblBorders>
              </w:tblPrEx>
              <w:trPr>
                <w:trHeight w:val="454" w:hRule="atLeast"/>
              </w:trPr>
              <w:tc>
                <w:tcPr>
                  <w:tcW w:w="268" w:type="pct"/>
                  <w:vMerge w:val="continue"/>
                  <w:tcMar>
                    <w:top w:w="0" w:type="dxa"/>
                    <w:left w:w="85" w:type="dxa"/>
                    <w:bottom w:w="0" w:type="dxa"/>
                    <w:right w:w="85" w:type="dxa"/>
                  </w:tcMar>
                  <w:vAlign w:val="center"/>
                </w:tcPr>
                <w:p>
                  <w:pPr>
                    <w:pStyle w:val="66"/>
                  </w:pPr>
                </w:p>
              </w:tc>
              <w:tc>
                <w:tcPr>
                  <w:tcW w:w="474" w:type="pct"/>
                  <w:vMerge w:val="continue"/>
                  <w:tcMar>
                    <w:top w:w="0" w:type="dxa"/>
                    <w:left w:w="85" w:type="dxa"/>
                    <w:bottom w:w="0" w:type="dxa"/>
                    <w:right w:w="85" w:type="dxa"/>
                  </w:tcMar>
                  <w:vAlign w:val="center"/>
                </w:tcPr>
                <w:p>
                  <w:pPr>
                    <w:pStyle w:val="66"/>
                  </w:pPr>
                </w:p>
              </w:tc>
              <w:tc>
                <w:tcPr>
                  <w:tcW w:w="2144" w:type="pct"/>
                  <w:tcMar>
                    <w:top w:w="0" w:type="dxa"/>
                    <w:left w:w="85" w:type="dxa"/>
                    <w:bottom w:w="0" w:type="dxa"/>
                    <w:right w:w="85" w:type="dxa"/>
                  </w:tcMar>
                  <w:vAlign w:val="center"/>
                </w:tcPr>
                <w:p>
                  <w:pPr>
                    <w:pStyle w:val="15"/>
                    <w:jc w:val="left"/>
                    <w:rPr>
                      <w:szCs w:val="21"/>
                    </w:rPr>
                  </w:pPr>
                  <w:r>
                    <w:rPr>
                      <w:szCs w:val="21"/>
                    </w:rPr>
                    <w:t>二级、三级和四级生物安全实验室应设紧急冲眼装置。一级生物安全实验室内操作刺激或腐蚀性物质时，应在30m内设紧急冲眼装置，必要时应设紧急淋浴装置。</w:t>
                  </w:r>
                </w:p>
              </w:tc>
              <w:tc>
                <w:tcPr>
                  <w:tcW w:w="1636" w:type="pct"/>
                  <w:tcMar>
                    <w:top w:w="0" w:type="dxa"/>
                    <w:left w:w="85" w:type="dxa"/>
                    <w:bottom w:w="0" w:type="dxa"/>
                    <w:right w:w="85" w:type="dxa"/>
                  </w:tcMar>
                  <w:vAlign w:val="center"/>
                </w:tcPr>
                <w:p>
                  <w:pPr>
                    <w:pStyle w:val="15"/>
                    <w:jc w:val="left"/>
                    <w:rPr>
                      <w:szCs w:val="21"/>
                    </w:rPr>
                  </w:pPr>
                  <w:r>
                    <w:rPr>
                      <w:szCs w:val="21"/>
                    </w:rPr>
                    <w:t>项目实验室设置有紧急冲眼装置。</w:t>
                  </w:r>
                </w:p>
              </w:tc>
              <w:tc>
                <w:tcPr>
                  <w:tcW w:w="478" w:type="pct"/>
                  <w:tcMar>
                    <w:top w:w="0" w:type="dxa"/>
                    <w:left w:w="85" w:type="dxa"/>
                    <w:bottom w:w="0" w:type="dxa"/>
                    <w:right w:w="85" w:type="dxa"/>
                  </w:tcMar>
                  <w:vAlign w:val="center"/>
                </w:tcPr>
                <w:p>
                  <w:pPr>
                    <w:pStyle w:val="66"/>
                  </w:pPr>
                  <w:r>
                    <w:t>符合</w:t>
                  </w:r>
                </w:p>
              </w:tc>
            </w:tr>
          </w:tbl>
          <w:p>
            <w:pPr>
              <w:ind w:firstLine="480"/>
            </w:pPr>
            <w:r>
              <w:t>综上所述，项目实验室建设能满足《生物安全实验室建筑技术规范》（GB50346-2011）</w:t>
            </w:r>
            <w:r>
              <w:rPr>
                <w:rFonts w:hint="eastAsia"/>
              </w:rPr>
              <w:t>P2生物实验室建设</w:t>
            </w:r>
            <w:r>
              <w:t>的要求。</w:t>
            </w:r>
          </w:p>
          <w:p>
            <w:pPr>
              <w:pStyle w:val="3"/>
              <w:rPr>
                <w:lang w:eastAsia="zh-CN"/>
              </w:rPr>
            </w:pPr>
            <w:bookmarkStart w:id="38" w:name="_Toc122338487"/>
            <w:r>
              <w:rPr>
                <w:rFonts w:hint="eastAsia"/>
                <w:lang w:eastAsia="zh-CN"/>
              </w:rPr>
              <w:t>与《病原微生物实验室生物安全通用准则》（WS</w:t>
            </w:r>
            <w:r>
              <w:rPr>
                <w:lang w:eastAsia="zh-CN"/>
              </w:rPr>
              <w:t>33-2017</w:t>
            </w:r>
            <w:r>
              <w:rPr>
                <w:rFonts w:hint="eastAsia"/>
                <w:lang w:eastAsia="zh-CN"/>
              </w:rPr>
              <w:t>）的相符性分析</w:t>
            </w:r>
            <w:bookmarkEnd w:id="38"/>
          </w:p>
          <w:p>
            <w:pPr>
              <w:ind w:firstLine="480"/>
              <w:rPr>
                <w:lang w:val="zh-CN"/>
              </w:rPr>
            </w:pPr>
            <w:r>
              <w:rPr>
                <w:rFonts w:hint="eastAsia"/>
                <w:lang w:val="zh-CN"/>
              </w:rPr>
              <w:t>根据项目的实际建设要求，项目所有实验室按照加强型P2实验室要求建设。加强型生物安全二级实验室是指</w:t>
            </w:r>
            <w:r>
              <w:t>在普通型生物安全二级实验室的基础上，通过机械通风系统等措施加强实验室生物安全防护要求的实验室。</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3252"/>
              <w:gridCol w:w="2844"/>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restart"/>
                  <w:vAlign w:val="center"/>
                </w:tcPr>
                <w:p>
                  <w:pPr>
                    <w:pStyle w:val="56"/>
                    <w:rPr>
                      <w:lang w:eastAsia="zh-CN"/>
                    </w:rPr>
                  </w:pPr>
                  <w:r>
                    <w:rPr>
                      <w:rFonts w:hint="eastAsia"/>
                      <w:lang w:eastAsia="zh-CN"/>
                    </w:rPr>
                    <w:t>加强型二级实验室</w:t>
                  </w:r>
                </w:p>
              </w:tc>
              <w:tc>
                <w:tcPr>
                  <w:tcW w:w="3252" w:type="dxa"/>
                  <w:vAlign w:val="center"/>
                </w:tcPr>
                <w:p>
                  <w:pPr>
                    <w:pStyle w:val="56"/>
                  </w:pPr>
                  <w:r>
                    <w:rPr>
                      <w:rFonts w:hint="eastAsia"/>
                      <w:lang w:eastAsia="zh-CN"/>
                    </w:rPr>
                    <w:t>建设要求</w:t>
                  </w:r>
                </w:p>
              </w:tc>
              <w:tc>
                <w:tcPr>
                  <w:tcW w:w="2844" w:type="dxa"/>
                  <w:vAlign w:val="center"/>
                </w:tcPr>
                <w:p>
                  <w:pPr>
                    <w:pStyle w:val="56"/>
                  </w:pPr>
                  <w:r>
                    <w:rPr>
                      <w:rFonts w:hint="eastAsia"/>
                      <w:lang w:eastAsia="zh-CN"/>
                    </w:rPr>
                    <w:t>本项目情况</w:t>
                  </w:r>
                </w:p>
              </w:tc>
              <w:tc>
                <w:tcPr>
                  <w:tcW w:w="964" w:type="dxa"/>
                  <w:vAlign w:val="center"/>
                </w:tcPr>
                <w:p>
                  <w:pPr>
                    <w:pStyle w:val="56"/>
                  </w:pPr>
                  <w:r>
                    <w:rPr>
                      <w:rFonts w:hint="eastAsia"/>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rPr>
                      <w:rFonts w:hint="eastAsia"/>
                    </w:rPr>
                    <w:t>加强型BSL-2实验室应包含缓冲间和核心工作间</w:t>
                  </w:r>
                </w:p>
              </w:tc>
              <w:tc>
                <w:tcPr>
                  <w:tcW w:w="2844" w:type="dxa"/>
                  <w:vAlign w:val="center"/>
                </w:tcPr>
                <w:p>
                  <w:pPr>
                    <w:pStyle w:val="56"/>
                    <w:rPr>
                      <w:lang w:eastAsia="zh-CN"/>
                    </w:rPr>
                  </w:pPr>
                  <w:r>
                    <w:rPr>
                      <w:rFonts w:hint="eastAsia"/>
                      <w:lang w:eastAsia="zh-CN"/>
                    </w:rPr>
                    <w:t>项目设有缓冲间，有专门的开展实验室活动的核心工作区</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缓冲间可兼作防护服更换间。必要时，可设置准备间和洗消间等</w:t>
                  </w:r>
                </w:p>
              </w:tc>
              <w:tc>
                <w:tcPr>
                  <w:tcW w:w="2844" w:type="dxa"/>
                  <w:vAlign w:val="center"/>
                </w:tcPr>
                <w:p>
                  <w:pPr>
                    <w:pStyle w:val="56"/>
                    <w:rPr>
                      <w:lang w:eastAsia="zh-CN"/>
                    </w:rPr>
                  </w:pPr>
                  <w:r>
                    <w:rPr>
                      <w:rFonts w:hint="eastAsia"/>
                      <w:lang w:eastAsia="zh-CN"/>
                    </w:rPr>
                    <w:t>项目设有防护服更换间，同时还有洗消室和准备间</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缓冲间的门宜能互锁。如果使用互锁门，应在互锁门的附近设置紧急手动互锁解除开关。</w:t>
                  </w:r>
                </w:p>
              </w:tc>
              <w:tc>
                <w:tcPr>
                  <w:tcW w:w="2844" w:type="dxa"/>
                  <w:vAlign w:val="center"/>
                </w:tcPr>
                <w:p>
                  <w:pPr>
                    <w:pStyle w:val="56"/>
                  </w:pPr>
                  <w:r>
                    <w:rPr>
                      <w:rFonts w:hint="eastAsia"/>
                      <w:lang w:eastAsia="zh-CN"/>
                    </w:rPr>
                    <w:t>缓冲间已设置互锁门</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实验室应设洗手池；水龙头开关应为非手动式，宜设置在靠近出口处</w:t>
                  </w:r>
                </w:p>
              </w:tc>
              <w:tc>
                <w:tcPr>
                  <w:tcW w:w="2844" w:type="dxa"/>
                  <w:vAlign w:val="center"/>
                </w:tcPr>
                <w:p>
                  <w:pPr>
                    <w:pStyle w:val="56"/>
                  </w:pPr>
                  <w:r>
                    <w:rPr>
                      <w:rFonts w:hint="eastAsia"/>
                      <w:lang w:eastAsia="zh-CN"/>
                    </w:rPr>
                    <w:t>实验室设有洗手池，为自动式水龙头</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采用机械通风系统，送风口和排风口应采取防雨、防风、防杂物、防昆虫及其他动物的措施，送风口应远离污染源和排风口。排风系统应使用高效空气过滤器</w:t>
                  </w:r>
                </w:p>
              </w:tc>
              <w:tc>
                <w:tcPr>
                  <w:tcW w:w="2844" w:type="dxa"/>
                  <w:vAlign w:val="center"/>
                </w:tcPr>
                <w:p>
                  <w:pPr>
                    <w:pStyle w:val="56"/>
                  </w:pPr>
                  <w:r>
                    <w:rPr>
                      <w:rFonts w:hint="eastAsia"/>
                      <w:lang w:eastAsia="zh-CN"/>
                    </w:rPr>
                    <w:t>项目采用机械通风系统，各送风口及排风口都采取了防雨防风</w:t>
                  </w:r>
                  <w:r>
                    <w:t>、防杂物、防昆虫及其他动物的措施</w:t>
                  </w:r>
                  <w:r>
                    <w:rPr>
                      <w:rFonts w:hint="eastAsia"/>
                      <w:lang w:eastAsia="zh-CN"/>
                    </w:rPr>
                    <w:t>，</w:t>
                  </w:r>
                  <w:r>
                    <w:t>排风系统使用高效空气过滤器</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核心工作间内送风口和排风口的布置应符合定向气流的原则，利于减少房间内的涡流和气流死角</w:t>
                  </w:r>
                </w:p>
              </w:tc>
              <w:tc>
                <w:tcPr>
                  <w:tcW w:w="2844" w:type="dxa"/>
                  <w:vAlign w:val="center"/>
                </w:tcPr>
                <w:p>
                  <w:pPr>
                    <w:pStyle w:val="56"/>
                  </w:pPr>
                  <w:r>
                    <w:rPr>
                      <w:rFonts w:hint="eastAsia"/>
                      <w:lang w:eastAsia="zh-CN"/>
                    </w:rPr>
                    <w:t>开展检验的区域</w:t>
                  </w:r>
                  <w:r>
                    <w:t>送风口和排风口的布置符合定向气流的原则</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核心工作间气压相对于相邻区域应为负压，压差宜不低于10Pa。在核心工作间入口的显著位置，应安装显示房间负压状况的压力显示装置</w:t>
                  </w:r>
                </w:p>
              </w:tc>
              <w:tc>
                <w:tcPr>
                  <w:tcW w:w="2844" w:type="dxa"/>
                  <w:vAlign w:val="center"/>
                </w:tcPr>
                <w:p>
                  <w:pPr>
                    <w:pStyle w:val="56"/>
                  </w:pPr>
                  <w:r>
                    <w:rPr>
                      <w:rFonts w:hint="eastAsia"/>
                      <w:lang w:eastAsia="zh-CN"/>
                    </w:rPr>
                    <w:t>实验操作区域</w:t>
                  </w:r>
                  <w:r>
                    <w:t>气压相对于相邻区域应为负压</w:t>
                  </w:r>
                  <w:r>
                    <w:rPr>
                      <w:rFonts w:hint="eastAsia"/>
                      <w:lang w:eastAsia="zh-CN"/>
                    </w:rPr>
                    <w:t>，同时在</w:t>
                  </w:r>
                  <w:r>
                    <w:t>显著位置安装显示房间负压状况的压力显示装置</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应通过自动控制措施保证实验室压力及压力梯度的稳定性，并可对异常情况报警</w:t>
                  </w:r>
                </w:p>
              </w:tc>
              <w:tc>
                <w:tcPr>
                  <w:tcW w:w="2844" w:type="dxa"/>
                  <w:vAlign w:val="center"/>
                </w:tcPr>
                <w:p>
                  <w:pPr>
                    <w:pStyle w:val="56"/>
                  </w:pPr>
                  <w:r>
                    <w:rPr>
                      <w:rFonts w:hint="eastAsia"/>
                      <w:lang w:eastAsia="zh-CN"/>
                    </w:rPr>
                    <w:t>安装了</w:t>
                  </w:r>
                  <w:r>
                    <w:t>自动控制措施保证实验室压力及压力梯度的稳定性，并可对异常情况报警</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实验室的排风应与送风连锁，排风先于送风开启，后于送风关闭</w:t>
                  </w:r>
                </w:p>
              </w:tc>
              <w:tc>
                <w:tcPr>
                  <w:tcW w:w="2844" w:type="dxa"/>
                  <w:vAlign w:val="center"/>
                </w:tcPr>
                <w:p>
                  <w:pPr>
                    <w:pStyle w:val="56"/>
                  </w:pPr>
                  <w:r>
                    <w:t>实验室的排风与送风连锁，排风先于送风开启，后于送风关闭</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实验室应有措施防止产生对人员有害的异常压力，围护结构应能承受送风机或排风机异常时导致的空气压力载荷</w:t>
                  </w:r>
                </w:p>
              </w:tc>
              <w:tc>
                <w:tcPr>
                  <w:tcW w:w="2844" w:type="dxa"/>
                  <w:vAlign w:val="center"/>
                </w:tcPr>
                <w:p>
                  <w:pPr>
                    <w:pStyle w:val="56"/>
                  </w:pPr>
                  <w:r>
                    <w:rPr>
                      <w:rFonts w:hint="eastAsia"/>
                      <w:lang w:eastAsia="zh-CN"/>
                    </w:rPr>
                    <w:t>采取相关</w:t>
                  </w:r>
                  <w:r>
                    <w:t>措施防止产生对人员有害的异常压力</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核心工作间温度18 ℃～26 ℃，噪音应低于 68 dB</w:t>
                  </w:r>
                </w:p>
              </w:tc>
              <w:tc>
                <w:tcPr>
                  <w:tcW w:w="2844" w:type="dxa"/>
                  <w:vAlign w:val="center"/>
                </w:tcPr>
                <w:p>
                  <w:pPr>
                    <w:pStyle w:val="56"/>
                    <w:rPr>
                      <w:lang w:eastAsia="zh-CN"/>
                    </w:rPr>
                  </w:pPr>
                  <w:r>
                    <w:rPr>
                      <w:rFonts w:hint="eastAsia"/>
                      <w:lang w:eastAsia="zh-CN"/>
                    </w:rPr>
                    <w:t>实验室的操作区域温度在</w:t>
                  </w:r>
                  <w:r>
                    <w:t>20~25℃</w:t>
                  </w:r>
                  <w:r>
                    <w:rPr>
                      <w:rFonts w:hint="eastAsia"/>
                      <w:lang w:eastAsia="zh-CN"/>
                    </w:rPr>
                    <w:t>，总体噪声低于</w:t>
                  </w:r>
                  <w:r>
                    <w:t>60dB（A）</w:t>
                  </w:r>
                </w:p>
              </w:tc>
              <w:tc>
                <w:tcPr>
                  <w:tcW w:w="964" w:type="dxa"/>
                  <w:vAlign w:val="center"/>
                </w:tcPr>
                <w:p>
                  <w:pPr>
                    <w:pStyle w:val="56"/>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vMerge w:val="continue"/>
                  <w:vAlign w:val="center"/>
                </w:tcPr>
                <w:p>
                  <w:pPr>
                    <w:pStyle w:val="56"/>
                  </w:pPr>
                </w:p>
              </w:tc>
              <w:tc>
                <w:tcPr>
                  <w:tcW w:w="3252" w:type="dxa"/>
                  <w:vAlign w:val="center"/>
                </w:tcPr>
                <w:p>
                  <w:pPr>
                    <w:pStyle w:val="56"/>
                  </w:pPr>
                  <w:r>
                    <w:t>实验室内应配置压力蒸汽灭菌器，以及其他适用的消毒设备</w:t>
                  </w:r>
                </w:p>
              </w:tc>
              <w:tc>
                <w:tcPr>
                  <w:tcW w:w="2844" w:type="dxa"/>
                  <w:vAlign w:val="center"/>
                </w:tcPr>
                <w:p>
                  <w:pPr>
                    <w:pStyle w:val="56"/>
                  </w:pPr>
                  <w:r>
                    <w:t>实验室内配置</w:t>
                  </w:r>
                  <w:r>
                    <w:rPr>
                      <w:rFonts w:hint="eastAsia"/>
                      <w:lang w:eastAsia="zh-CN"/>
                    </w:rPr>
                    <w:t>了高压锅高温</w:t>
                  </w:r>
                  <w:r>
                    <w:t>灭菌器，以及其他适用的消毒设备</w:t>
                  </w:r>
                </w:p>
              </w:tc>
              <w:tc>
                <w:tcPr>
                  <w:tcW w:w="964" w:type="dxa"/>
                  <w:vAlign w:val="center"/>
                </w:tcPr>
                <w:p>
                  <w:pPr>
                    <w:pStyle w:val="56"/>
                  </w:pPr>
                  <w:r>
                    <w:rPr>
                      <w:rFonts w:hint="eastAsia"/>
                      <w:lang w:eastAsia="zh-CN"/>
                    </w:rPr>
                    <w:t>符合</w:t>
                  </w:r>
                </w:p>
              </w:tc>
            </w:tr>
          </w:tbl>
          <w:p>
            <w:pPr>
              <w:pStyle w:val="3"/>
              <w:rPr>
                <w:lang w:val="en-US" w:eastAsia="zh-CN"/>
              </w:rPr>
            </w:pPr>
            <w:bookmarkStart w:id="39" w:name="_Toc121147720"/>
            <w:bookmarkStart w:id="40" w:name="_Toc122338488"/>
            <w:r>
              <w:rPr>
                <w:rFonts w:hint="eastAsia"/>
                <w:lang w:eastAsia="zh-CN"/>
              </w:rPr>
              <w:t>与</w:t>
            </w:r>
            <w:r>
              <w:rPr>
                <w:rFonts w:hint="eastAsia"/>
                <w:lang w:val="en-US" w:eastAsia="zh-CN"/>
              </w:rPr>
              <w:t>其他政策符合性分析</w:t>
            </w:r>
            <w:bookmarkEnd w:id="39"/>
            <w:bookmarkEnd w:id="40"/>
          </w:p>
          <w:p>
            <w:pPr>
              <w:ind w:firstLine="480"/>
            </w:pPr>
            <w:r>
              <w:rPr>
                <w:rFonts w:hint="eastAsia"/>
              </w:rPr>
              <w:t>本项目主要是包括（1）临床血液与体液检验专业实验室。（2）临床化学检验专业实验室。（3）临床免疫检验专业实验室。（4）临床微生物检验专业实验室。（5）临床细胞分子遗传学专业实验室。（6）新冠筛查实验室。不涉及病毒病毒培养及动物感染实验。同时所进行的实验均为通过采用可靠的方法灭活后再进行。</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与其他规范的相符性分析</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943"/>
              <w:gridCol w:w="2851"/>
              <w:gridCol w:w="1699"/>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Align w:val="center"/>
                </w:tcPr>
                <w:p>
                  <w:pPr>
                    <w:pStyle w:val="66"/>
                    <w:rPr>
                      <w:lang w:val="en-US" w:eastAsia="zh-CN"/>
                    </w:rPr>
                  </w:pPr>
                  <w:r>
                    <w:rPr>
                      <w:rFonts w:hint="eastAsia"/>
                      <w:lang w:val="en-US" w:eastAsia="zh-CN"/>
                    </w:rPr>
                    <w:t>序号</w:t>
                  </w:r>
                </w:p>
              </w:tc>
              <w:tc>
                <w:tcPr>
                  <w:tcW w:w="1551" w:type="dxa"/>
                  <w:vAlign w:val="center"/>
                </w:tcPr>
                <w:p>
                  <w:pPr>
                    <w:pStyle w:val="66"/>
                    <w:rPr>
                      <w:lang w:val="en-US" w:eastAsia="zh-CN"/>
                    </w:rPr>
                  </w:pPr>
                  <w:r>
                    <w:rPr>
                      <w:rFonts w:hint="eastAsia"/>
                      <w:lang w:val="en-US" w:eastAsia="zh-CN"/>
                    </w:rPr>
                    <w:t>规划/政策文件</w:t>
                  </w:r>
                </w:p>
              </w:tc>
              <w:tc>
                <w:tcPr>
                  <w:tcW w:w="3005" w:type="dxa"/>
                  <w:vAlign w:val="center"/>
                </w:tcPr>
                <w:p>
                  <w:pPr>
                    <w:pStyle w:val="66"/>
                    <w:rPr>
                      <w:lang w:val="en-US" w:eastAsia="zh-CN"/>
                    </w:rPr>
                  </w:pPr>
                  <w:r>
                    <w:rPr>
                      <w:rFonts w:hint="eastAsia"/>
                      <w:lang w:val="en-US" w:eastAsia="zh-CN"/>
                    </w:rPr>
                    <w:t>涉及条款</w:t>
                  </w:r>
                </w:p>
              </w:tc>
              <w:tc>
                <w:tcPr>
                  <w:tcW w:w="1778" w:type="dxa"/>
                  <w:vAlign w:val="center"/>
                </w:tcPr>
                <w:p>
                  <w:pPr>
                    <w:pStyle w:val="66"/>
                    <w:rPr>
                      <w:lang w:val="en-US" w:eastAsia="zh-CN"/>
                    </w:rPr>
                  </w:pPr>
                  <w:r>
                    <w:rPr>
                      <w:rFonts w:hint="eastAsia"/>
                      <w:lang w:val="en-US" w:eastAsia="zh-CN"/>
                    </w:rPr>
                    <w:t>本项目</w:t>
                  </w:r>
                </w:p>
              </w:tc>
              <w:tc>
                <w:tcPr>
                  <w:tcW w:w="725" w:type="dxa"/>
                  <w:vAlign w:val="center"/>
                </w:tcPr>
                <w:p>
                  <w:pPr>
                    <w:pStyle w:val="66"/>
                    <w:rPr>
                      <w:lang w:val="en-US" w:eastAsia="zh-CN"/>
                    </w:rPr>
                  </w:pPr>
                  <w:r>
                    <w:rPr>
                      <w:rFonts w:hint="eastAsia"/>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restart"/>
                  <w:vAlign w:val="center"/>
                </w:tcPr>
                <w:p>
                  <w:pPr>
                    <w:pStyle w:val="66"/>
                    <w:rPr>
                      <w:lang w:val="en-US" w:eastAsia="zh-CN"/>
                    </w:rPr>
                  </w:pPr>
                  <w:r>
                    <w:rPr>
                      <w:rFonts w:hint="eastAsia"/>
                      <w:lang w:val="en-US" w:eastAsia="zh-CN"/>
                    </w:rPr>
                    <w:t>1</w:t>
                  </w:r>
                </w:p>
              </w:tc>
              <w:tc>
                <w:tcPr>
                  <w:tcW w:w="1551" w:type="dxa"/>
                  <w:vMerge w:val="restart"/>
                  <w:vAlign w:val="center"/>
                </w:tcPr>
                <w:p>
                  <w:pPr>
                    <w:pStyle w:val="66"/>
                    <w:rPr>
                      <w:lang w:val="en-US" w:eastAsia="zh-CN"/>
                    </w:rPr>
                  </w:pPr>
                  <w:r>
                    <w:rPr>
                      <w:lang w:val="en-US" w:eastAsia="zh-CN"/>
                    </w:rPr>
                    <w:t>《新型冠状病毒实验室生物安全指南（第二版）》</w:t>
                  </w:r>
                </w:p>
              </w:tc>
              <w:tc>
                <w:tcPr>
                  <w:tcW w:w="3005" w:type="dxa"/>
                  <w:vAlign w:val="center"/>
                </w:tcPr>
                <w:p>
                  <w:pPr>
                    <w:pStyle w:val="66"/>
                    <w:rPr>
                      <w:lang w:val="en-US" w:eastAsia="zh-CN"/>
                    </w:rPr>
                  </w:pPr>
                  <w:r>
                    <w:rPr>
                      <w:lang w:val="en-US" w:eastAsia="zh-CN"/>
                    </w:rPr>
                    <w:t>灭活材料的操作：感染性材料或活病毒在采用可靠的方法灭活后进行的核酸检测、抗原检测、血清学检测、生化分析等操作应当在生物安全二级实验室进行。分子克隆等不含致病</w:t>
                  </w:r>
                </w:p>
                <w:p>
                  <w:pPr>
                    <w:pStyle w:val="66"/>
                    <w:rPr>
                      <w:lang w:val="en-US" w:eastAsia="zh-CN"/>
                    </w:rPr>
                  </w:pPr>
                  <w:r>
                    <w:rPr>
                      <w:lang w:val="en-US" w:eastAsia="zh-CN"/>
                    </w:rPr>
                    <w:t>性活病毒的其他操作，可以在生物安全一级实验室进行。</w:t>
                  </w:r>
                </w:p>
              </w:tc>
              <w:tc>
                <w:tcPr>
                  <w:tcW w:w="1778" w:type="dxa"/>
                  <w:vAlign w:val="center"/>
                </w:tcPr>
                <w:p>
                  <w:pPr>
                    <w:pStyle w:val="66"/>
                    <w:rPr>
                      <w:lang w:val="en-US" w:eastAsia="zh-CN"/>
                    </w:rPr>
                  </w:pPr>
                  <w:r>
                    <w:rPr>
                      <w:lang w:val="en-US" w:eastAsia="zh-CN"/>
                    </w:rPr>
                    <w:t>本项目新冠实验室位于1层，按</w:t>
                  </w:r>
                  <w:r>
                    <w:rPr>
                      <w:rFonts w:hint="eastAsia"/>
                      <w:lang w:val="en-US" w:eastAsia="zh-CN"/>
                    </w:rPr>
                    <w:t>加强型</w:t>
                  </w:r>
                  <w:r>
                    <w:rPr>
                      <w:lang w:val="en-US" w:eastAsia="zh-CN"/>
                    </w:rPr>
                    <w:t>P2实验室设计</w:t>
                  </w:r>
                </w:p>
              </w:tc>
              <w:tc>
                <w:tcPr>
                  <w:tcW w:w="725" w:type="dxa"/>
                  <w:vMerge w:val="restart"/>
                  <w:vAlign w:val="center"/>
                </w:tcPr>
                <w:p>
                  <w:pPr>
                    <w:pStyle w:val="66"/>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pStyle w:val="66"/>
                    <w:rPr>
                      <w:lang w:val="en-US" w:eastAsia="zh-CN"/>
                    </w:rPr>
                  </w:pPr>
                </w:p>
              </w:tc>
              <w:tc>
                <w:tcPr>
                  <w:tcW w:w="1551" w:type="dxa"/>
                  <w:vMerge w:val="continue"/>
                  <w:vAlign w:val="center"/>
                </w:tcPr>
                <w:p>
                  <w:pPr>
                    <w:pStyle w:val="66"/>
                    <w:rPr>
                      <w:lang w:val="en-US" w:eastAsia="zh-CN"/>
                    </w:rPr>
                  </w:pPr>
                </w:p>
              </w:tc>
              <w:tc>
                <w:tcPr>
                  <w:tcW w:w="3005" w:type="dxa"/>
                  <w:vAlign w:val="center"/>
                </w:tcPr>
                <w:p>
                  <w:pPr>
                    <w:pStyle w:val="66"/>
                    <w:rPr>
                      <w:lang w:val="en-US" w:eastAsia="zh-CN"/>
                    </w:rPr>
                  </w:pPr>
                  <w:r>
                    <w:rPr>
                      <w:lang w:val="en-US" w:eastAsia="zh-CN"/>
                    </w:rPr>
                    <w:t>废弃物的处理措施：废弃物的处理是控制实验室生物安全的关键环节，切实安全地处理感染性废弃物，必须充分掌握生物安全废弃物的分类，并严格执行相应的处理程序。</w:t>
                  </w:r>
                </w:p>
              </w:tc>
              <w:tc>
                <w:tcPr>
                  <w:tcW w:w="1778" w:type="dxa"/>
                  <w:vAlign w:val="center"/>
                </w:tcPr>
                <w:p>
                  <w:pPr>
                    <w:pStyle w:val="66"/>
                    <w:rPr>
                      <w:lang w:val="en-US" w:eastAsia="zh-CN"/>
                    </w:rPr>
                  </w:pPr>
                  <w:r>
                    <w:rPr>
                      <w:lang w:val="en-US" w:eastAsia="zh-CN"/>
                    </w:rPr>
                    <w:t>项目废弃检</w:t>
                  </w:r>
                </w:p>
                <w:p>
                  <w:pPr>
                    <w:pStyle w:val="66"/>
                    <w:rPr>
                      <w:lang w:val="en-US" w:eastAsia="zh-CN"/>
                    </w:rPr>
                  </w:pPr>
                  <w:r>
                    <w:rPr>
                      <w:lang w:val="en-US" w:eastAsia="zh-CN"/>
                    </w:rPr>
                    <w:t>测用品、废弃防护服，均经高压消毒后，暂存于</w:t>
                  </w:r>
                  <w:r>
                    <w:rPr>
                      <w:rFonts w:hint="eastAsia"/>
                      <w:lang w:val="en-US" w:eastAsia="zh-CN"/>
                    </w:rPr>
                    <w:t>危废暂存间</w:t>
                  </w:r>
                  <w:r>
                    <w:rPr>
                      <w:lang w:val="en-US" w:eastAsia="zh-CN"/>
                    </w:rPr>
                    <w:t>，交由有资质单位处置</w:t>
                  </w:r>
                </w:p>
              </w:tc>
              <w:tc>
                <w:tcPr>
                  <w:tcW w:w="725" w:type="dxa"/>
                  <w:vMerge w:val="continue"/>
                  <w:vAlign w:val="center"/>
                </w:tcPr>
                <w:p>
                  <w:pPr>
                    <w:pStyle w:val="6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pStyle w:val="66"/>
                    <w:rPr>
                      <w:lang w:val="en-US" w:eastAsia="zh-CN"/>
                    </w:rPr>
                  </w:pPr>
                </w:p>
              </w:tc>
              <w:tc>
                <w:tcPr>
                  <w:tcW w:w="1551" w:type="dxa"/>
                  <w:vMerge w:val="continue"/>
                  <w:vAlign w:val="center"/>
                </w:tcPr>
                <w:p>
                  <w:pPr>
                    <w:pStyle w:val="66"/>
                    <w:rPr>
                      <w:lang w:val="en-US" w:eastAsia="zh-CN"/>
                    </w:rPr>
                  </w:pPr>
                </w:p>
              </w:tc>
              <w:tc>
                <w:tcPr>
                  <w:tcW w:w="3005" w:type="dxa"/>
                  <w:vAlign w:val="center"/>
                </w:tcPr>
                <w:p>
                  <w:pPr>
                    <w:pStyle w:val="66"/>
                    <w:rPr>
                      <w:lang w:val="en-US" w:eastAsia="zh-CN"/>
                    </w:rPr>
                  </w:pPr>
                  <w:r>
                    <w:rPr>
                      <w:lang w:val="en-US" w:eastAsia="zh-CN"/>
                    </w:rPr>
                    <w:t>普通污水产生于洗手池等设备，对此类污水应当单独收集，排入实验室水处理系统，经处理达标后方可排放。</w:t>
                  </w:r>
                </w:p>
              </w:tc>
              <w:tc>
                <w:tcPr>
                  <w:tcW w:w="1778" w:type="dxa"/>
                  <w:vAlign w:val="center"/>
                </w:tcPr>
                <w:p>
                  <w:pPr>
                    <w:pStyle w:val="66"/>
                    <w:rPr>
                      <w:lang w:val="en-US" w:eastAsia="zh-CN"/>
                    </w:rPr>
                  </w:pPr>
                  <w:r>
                    <w:rPr>
                      <w:lang w:val="en-US" w:eastAsia="zh-CN"/>
                    </w:rPr>
                    <w:t>项目洗手废水，均单独收集后排入</w:t>
                  </w:r>
                  <w:r>
                    <w:rPr>
                      <w:rFonts w:hint="eastAsia"/>
                      <w:lang w:val="en-US" w:eastAsia="zh-CN"/>
                    </w:rPr>
                    <w:t>自建的</w:t>
                  </w:r>
                  <w:r>
                    <w:rPr>
                      <w:lang w:val="en-US" w:eastAsia="zh-CN"/>
                    </w:rPr>
                    <w:t>污水处理池</w:t>
                  </w:r>
                  <w:r>
                    <w:rPr>
                      <w:rFonts w:hint="eastAsia"/>
                      <w:lang w:val="en-US" w:eastAsia="zh-CN"/>
                    </w:rPr>
                    <w:t>站处</w:t>
                  </w:r>
                  <w:r>
                    <w:rPr>
                      <w:lang w:val="en-US" w:eastAsia="zh-CN"/>
                    </w:rPr>
                    <w:t>理</w:t>
                  </w:r>
                </w:p>
              </w:tc>
              <w:tc>
                <w:tcPr>
                  <w:tcW w:w="725" w:type="dxa"/>
                  <w:vMerge w:val="continue"/>
                  <w:vAlign w:val="center"/>
                </w:tcPr>
                <w:p>
                  <w:pPr>
                    <w:pStyle w:val="6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6" w:type="dxa"/>
                  <w:vMerge w:val="continue"/>
                  <w:vAlign w:val="center"/>
                </w:tcPr>
                <w:p>
                  <w:pPr>
                    <w:pStyle w:val="66"/>
                    <w:rPr>
                      <w:lang w:val="en-US" w:eastAsia="zh-CN"/>
                    </w:rPr>
                  </w:pPr>
                </w:p>
              </w:tc>
              <w:tc>
                <w:tcPr>
                  <w:tcW w:w="1551" w:type="dxa"/>
                  <w:vMerge w:val="continue"/>
                  <w:vAlign w:val="center"/>
                </w:tcPr>
                <w:p>
                  <w:pPr>
                    <w:pStyle w:val="66"/>
                    <w:rPr>
                      <w:lang w:val="en-US" w:eastAsia="zh-CN"/>
                    </w:rPr>
                  </w:pPr>
                </w:p>
              </w:tc>
              <w:tc>
                <w:tcPr>
                  <w:tcW w:w="3005" w:type="dxa"/>
                  <w:vAlign w:val="center"/>
                </w:tcPr>
                <w:p>
                  <w:pPr>
                    <w:pStyle w:val="66"/>
                    <w:rPr>
                      <w:lang w:val="en-US" w:eastAsia="zh-CN"/>
                    </w:rPr>
                  </w:pPr>
                  <w:r>
                    <w:rPr>
                      <w:lang w:val="en-US" w:eastAsia="zh-CN"/>
                    </w:rPr>
                    <w:t>感染性废液即在实验操作过程中产生的废水，采用化学消毒或物理消毒方式处理，并对消毒效果进行验证，确保彻底灭活。</w:t>
                  </w:r>
                </w:p>
              </w:tc>
              <w:tc>
                <w:tcPr>
                  <w:tcW w:w="1778" w:type="dxa"/>
                  <w:vAlign w:val="center"/>
                </w:tcPr>
                <w:p>
                  <w:pPr>
                    <w:pStyle w:val="66"/>
                    <w:rPr>
                      <w:lang w:val="en-US" w:eastAsia="zh-CN"/>
                    </w:rPr>
                  </w:pPr>
                  <w:r>
                    <w:rPr>
                      <w:lang w:val="en-US" w:eastAsia="zh-CN"/>
                    </w:rPr>
                    <w:t>项目废样本、检测废液，集中收集，暂存于</w:t>
                  </w:r>
                  <w:r>
                    <w:rPr>
                      <w:rFonts w:hint="eastAsia"/>
                      <w:lang w:val="en-US" w:eastAsia="zh-CN"/>
                    </w:rPr>
                    <w:t>危废暂存间</w:t>
                  </w:r>
                  <w:r>
                    <w:rPr>
                      <w:lang w:val="en-US" w:eastAsia="zh-CN"/>
                    </w:rPr>
                    <w:t>，交由有资质单位处置</w:t>
                  </w:r>
                </w:p>
              </w:tc>
              <w:tc>
                <w:tcPr>
                  <w:tcW w:w="725" w:type="dxa"/>
                  <w:vMerge w:val="continue"/>
                  <w:vAlign w:val="center"/>
                </w:tcPr>
                <w:p>
                  <w:pPr>
                    <w:pStyle w:val="6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pStyle w:val="66"/>
                    <w:rPr>
                      <w:lang w:val="en-US" w:eastAsia="zh-CN"/>
                    </w:rPr>
                  </w:pPr>
                </w:p>
              </w:tc>
              <w:tc>
                <w:tcPr>
                  <w:tcW w:w="1551" w:type="dxa"/>
                  <w:vMerge w:val="continue"/>
                  <w:vAlign w:val="center"/>
                </w:tcPr>
                <w:p>
                  <w:pPr>
                    <w:pStyle w:val="66"/>
                    <w:rPr>
                      <w:lang w:val="en-US" w:eastAsia="zh-CN"/>
                    </w:rPr>
                  </w:pPr>
                </w:p>
              </w:tc>
              <w:tc>
                <w:tcPr>
                  <w:tcW w:w="3005" w:type="dxa"/>
                  <w:vAlign w:val="center"/>
                </w:tcPr>
                <w:p>
                  <w:pPr>
                    <w:pStyle w:val="66"/>
                    <w:rPr>
                      <w:lang w:val="en-US" w:eastAsia="zh-CN"/>
                    </w:rPr>
                  </w:pPr>
                  <w:r>
                    <w:rPr>
                      <w:rFonts w:hint="eastAsia"/>
                      <w:lang w:val="en-US" w:eastAsia="zh-CN"/>
                    </w:rPr>
                    <w:t>固体废物分类收集，固体废物的收集容器应当具有不易破裂、防渗漏、耐湿耐热、可密封等特性。实验室内的感染性垃圾不允许堆积存放，应当及时压力蒸汽灭菌处理。废物处置之前，应当存放在实验室内指定的安全地方。</w:t>
                  </w:r>
                </w:p>
              </w:tc>
              <w:tc>
                <w:tcPr>
                  <w:tcW w:w="1778" w:type="dxa"/>
                  <w:vAlign w:val="center"/>
                </w:tcPr>
                <w:p>
                  <w:pPr>
                    <w:pStyle w:val="66"/>
                    <w:rPr>
                      <w:lang w:val="en-US" w:eastAsia="zh-CN"/>
                    </w:rPr>
                  </w:pPr>
                  <w:r>
                    <w:rPr>
                      <w:rFonts w:hint="eastAsia"/>
                      <w:lang w:val="en-US" w:eastAsia="zh-CN"/>
                    </w:rPr>
                    <w:t>项目产生的固体废物经过有效的收集后暂存于危废间中，委托有资质企业回收处置。实验室内的感染性废物通过蒸汽灭菌锅处理后暂存于危废间中</w:t>
                  </w:r>
                </w:p>
              </w:tc>
              <w:tc>
                <w:tcPr>
                  <w:tcW w:w="725" w:type="dxa"/>
                  <w:vMerge w:val="continue"/>
                  <w:vAlign w:val="center"/>
                </w:tcPr>
                <w:p>
                  <w:pPr>
                    <w:pStyle w:val="6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pStyle w:val="66"/>
                    <w:rPr>
                      <w:lang w:val="en-US" w:eastAsia="zh-CN"/>
                    </w:rPr>
                  </w:pPr>
                </w:p>
              </w:tc>
              <w:tc>
                <w:tcPr>
                  <w:tcW w:w="1551" w:type="dxa"/>
                  <w:vMerge w:val="continue"/>
                  <w:vAlign w:val="center"/>
                </w:tcPr>
                <w:p>
                  <w:pPr>
                    <w:pStyle w:val="66"/>
                    <w:rPr>
                      <w:lang w:val="en-US" w:eastAsia="zh-CN"/>
                    </w:rPr>
                  </w:pPr>
                </w:p>
              </w:tc>
              <w:tc>
                <w:tcPr>
                  <w:tcW w:w="3005" w:type="dxa"/>
                  <w:vAlign w:val="center"/>
                </w:tcPr>
                <w:p>
                  <w:pPr>
                    <w:pStyle w:val="66"/>
                    <w:rPr>
                      <w:lang w:val="en-US" w:eastAsia="zh-CN"/>
                    </w:rPr>
                  </w:pPr>
                  <w:r>
                    <w:rPr>
                      <w:rFonts w:ascii="Helvetica" w:hAnsi="Helvetica"/>
                      <w:szCs w:val="21"/>
                      <w:shd w:val="clear" w:color="auto" w:fill="FFFFFF"/>
                    </w:rPr>
                    <w:t>小型固体废物如组织标本、耗材、个人防护装备等均需经过压力蒸汽灭菌处理，再沿废弃物通道移出实验室</w:t>
                  </w:r>
                </w:p>
              </w:tc>
              <w:tc>
                <w:tcPr>
                  <w:tcW w:w="1778" w:type="dxa"/>
                  <w:vAlign w:val="center"/>
                </w:tcPr>
                <w:p>
                  <w:pPr>
                    <w:pStyle w:val="66"/>
                    <w:rPr>
                      <w:lang w:val="en-US" w:eastAsia="zh-CN"/>
                    </w:rPr>
                  </w:pPr>
                  <w:r>
                    <w:rPr>
                      <w:rFonts w:hint="eastAsia"/>
                      <w:lang w:val="en-US" w:eastAsia="zh-CN"/>
                    </w:rPr>
                    <w:t>小型的固体废物均通过灭菌后通过专门的通道移出实验室</w:t>
                  </w:r>
                </w:p>
              </w:tc>
              <w:tc>
                <w:tcPr>
                  <w:tcW w:w="725" w:type="dxa"/>
                  <w:vMerge w:val="continue"/>
                  <w:vAlign w:val="center"/>
                </w:tcPr>
                <w:p>
                  <w:pPr>
                    <w:pStyle w:val="6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pStyle w:val="66"/>
                    <w:rPr>
                      <w:lang w:val="en-US" w:eastAsia="zh-CN"/>
                    </w:rPr>
                  </w:pPr>
                </w:p>
              </w:tc>
              <w:tc>
                <w:tcPr>
                  <w:tcW w:w="1551" w:type="dxa"/>
                  <w:vMerge w:val="continue"/>
                  <w:vAlign w:val="center"/>
                </w:tcPr>
                <w:p>
                  <w:pPr>
                    <w:pStyle w:val="66"/>
                    <w:rPr>
                      <w:lang w:val="en-US" w:eastAsia="zh-CN"/>
                    </w:rPr>
                  </w:pPr>
                </w:p>
              </w:tc>
              <w:tc>
                <w:tcPr>
                  <w:tcW w:w="3005" w:type="dxa"/>
                  <w:vAlign w:val="center"/>
                </w:tcPr>
                <w:p>
                  <w:pPr>
                    <w:pStyle w:val="66"/>
                    <w:rPr>
                      <w:rFonts w:ascii="Helvetica" w:hAnsi="Helvetica"/>
                      <w:szCs w:val="21"/>
                      <w:shd w:val="clear" w:color="auto" w:fill="FFFFFF"/>
                    </w:rPr>
                  </w:pPr>
                  <w:r>
                    <w:rPr>
                      <w:rFonts w:hint="eastAsia" w:ascii="Helvetica" w:hAnsi="Helvetica"/>
                      <w:szCs w:val="21"/>
                      <w:shd w:val="clear" w:color="auto" w:fill="FFFFFF"/>
                    </w:rPr>
                    <w:t>体积较大的固体废物如HEPA过滤器，应当由专业人士进行原位消毒后，装入安全容器内进行消毒灭菌。不能进行压力蒸汽灭菌的物品如电子设备可以采用环氧乙烷熏蒸消毒处理</w:t>
                  </w:r>
                </w:p>
              </w:tc>
              <w:tc>
                <w:tcPr>
                  <w:tcW w:w="1778" w:type="dxa"/>
                  <w:vAlign w:val="center"/>
                </w:tcPr>
                <w:p>
                  <w:pPr>
                    <w:pStyle w:val="66"/>
                    <w:rPr>
                      <w:lang w:val="en-US" w:eastAsia="zh-CN"/>
                    </w:rPr>
                  </w:pPr>
                  <w:r>
                    <w:rPr>
                      <w:rFonts w:hint="eastAsia"/>
                      <w:lang w:val="en-US" w:eastAsia="zh-CN"/>
                    </w:rPr>
                    <w:t>生物安全柜的过滤器通过专业的人员进行灭菌消毒</w:t>
                  </w:r>
                </w:p>
              </w:tc>
              <w:tc>
                <w:tcPr>
                  <w:tcW w:w="725" w:type="dxa"/>
                  <w:vMerge w:val="continue"/>
                  <w:vAlign w:val="center"/>
                </w:tcPr>
                <w:p>
                  <w:pPr>
                    <w:pStyle w:val="6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pStyle w:val="66"/>
                    <w:rPr>
                      <w:lang w:val="en-US" w:eastAsia="zh-CN"/>
                    </w:rPr>
                  </w:pPr>
                </w:p>
              </w:tc>
              <w:tc>
                <w:tcPr>
                  <w:tcW w:w="1551" w:type="dxa"/>
                  <w:vMerge w:val="continue"/>
                  <w:vAlign w:val="center"/>
                </w:tcPr>
                <w:p>
                  <w:pPr>
                    <w:pStyle w:val="66"/>
                    <w:rPr>
                      <w:lang w:val="en-US" w:eastAsia="zh-CN"/>
                    </w:rPr>
                  </w:pPr>
                </w:p>
              </w:tc>
              <w:tc>
                <w:tcPr>
                  <w:tcW w:w="3005" w:type="dxa"/>
                  <w:vAlign w:val="center"/>
                </w:tcPr>
                <w:p>
                  <w:pPr>
                    <w:pStyle w:val="66"/>
                    <w:rPr>
                      <w:lang w:val="en-US" w:eastAsia="zh-CN"/>
                    </w:rPr>
                  </w:pPr>
                  <w:r>
                    <w:rPr>
                      <w:rFonts w:hint="eastAsia"/>
                      <w:lang w:val="en-US" w:eastAsia="zh-CN"/>
                    </w:rPr>
                    <w:t>经消毒灭菌处理后移出实验室的固体废物，集中交由固体废物处理单位处置</w:t>
                  </w:r>
                </w:p>
              </w:tc>
              <w:tc>
                <w:tcPr>
                  <w:tcW w:w="1778" w:type="dxa"/>
                  <w:vAlign w:val="center"/>
                </w:tcPr>
                <w:p>
                  <w:pPr>
                    <w:pStyle w:val="66"/>
                    <w:rPr>
                      <w:lang w:val="en-US" w:eastAsia="zh-CN"/>
                    </w:rPr>
                  </w:pPr>
                  <w:r>
                    <w:rPr>
                      <w:rFonts w:hint="eastAsia"/>
                      <w:lang w:val="en-US" w:eastAsia="zh-CN"/>
                    </w:rPr>
                    <w:t>项目固废通过有资质企业回收处置</w:t>
                  </w:r>
                </w:p>
              </w:tc>
              <w:tc>
                <w:tcPr>
                  <w:tcW w:w="725" w:type="dxa"/>
                  <w:vMerge w:val="continue"/>
                  <w:vAlign w:val="center"/>
                </w:tcPr>
                <w:p>
                  <w:pPr>
                    <w:pStyle w:val="6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pStyle w:val="66"/>
                    <w:rPr>
                      <w:lang w:val="en-US" w:eastAsia="zh-CN"/>
                    </w:rPr>
                  </w:pPr>
                </w:p>
              </w:tc>
              <w:tc>
                <w:tcPr>
                  <w:tcW w:w="1551" w:type="dxa"/>
                  <w:vMerge w:val="continue"/>
                  <w:vAlign w:val="center"/>
                </w:tcPr>
                <w:p>
                  <w:pPr>
                    <w:pStyle w:val="66"/>
                    <w:rPr>
                      <w:lang w:val="en-US" w:eastAsia="zh-CN"/>
                    </w:rPr>
                  </w:pPr>
                </w:p>
              </w:tc>
              <w:tc>
                <w:tcPr>
                  <w:tcW w:w="3005" w:type="dxa"/>
                  <w:vAlign w:val="center"/>
                </w:tcPr>
                <w:p>
                  <w:pPr>
                    <w:pStyle w:val="66"/>
                    <w:rPr>
                      <w:lang w:val="en-US" w:eastAsia="zh-CN"/>
                    </w:rPr>
                  </w:pPr>
                  <w:r>
                    <w:rPr>
                      <w:rFonts w:hint="eastAsia"/>
                      <w:lang w:val="en-US" w:eastAsia="zh-CN"/>
                    </w:rPr>
                    <w:t>实验过程如使用锐器（包括针头、小刀、金属和玻璃等）要直接弃置于锐器盒内，高压灭菌后，再做统一处理</w:t>
                  </w:r>
                </w:p>
              </w:tc>
              <w:tc>
                <w:tcPr>
                  <w:tcW w:w="1778" w:type="dxa"/>
                  <w:vAlign w:val="center"/>
                </w:tcPr>
                <w:p>
                  <w:pPr>
                    <w:pStyle w:val="66"/>
                    <w:rPr>
                      <w:lang w:val="en-US" w:eastAsia="zh-CN"/>
                    </w:rPr>
                  </w:pPr>
                  <w:r>
                    <w:rPr>
                      <w:rFonts w:hint="eastAsia"/>
                      <w:lang w:val="en-US" w:eastAsia="zh-CN"/>
                    </w:rPr>
                    <w:t>实验过程产生的锐器经收集灭菌后置于锐器盒中，定期通过有资质企业回收处置</w:t>
                  </w:r>
                </w:p>
              </w:tc>
              <w:tc>
                <w:tcPr>
                  <w:tcW w:w="725" w:type="dxa"/>
                  <w:vMerge w:val="continue"/>
                  <w:vAlign w:val="center"/>
                </w:tcPr>
                <w:p>
                  <w:pPr>
                    <w:pStyle w:val="6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6" w:type="dxa"/>
                  <w:vMerge w:val="restart"/>
                  <w:vAlign w:val="center"/>
                </w:tcPr>
                <w:p>
                  <w:pPr>
                    <w:pStyle w:val="66"/>
                    <w:rPr>
                      <w:lang w:val="en-US" w:eastAsia="zh-CN"/>
                    </w:rPr>
                  </w:pPr>
                  <w:r>
                    <w:rPr>
                      <w:rFonts w:hint="eastAsia"/>
                      <w:lang w:val="en-US" w:eastAsia="zh-CN"/>
                    </w:rPr>
                    <w:t>2</w:t>
                  </w:r>
                </w:p>
              </w:tc>
              <w:tc>
                <w:tcPr>
                  <w:tcW w:w="1551" w:type="dxa"/>
                  <w:vMerge w:val="restart"/>
                  <w:vAlign w:val="center"/>
                </w:tcPr>
                <w:p>
                  <w:pPr>
                    <w:pStyle w:val="66"/>
                    <w:rPr>
                      <w:lang w:val="en-US" w:eastAsia="zh-CN"/>
                    </w:rPr>
                  </w:pPr>
                  <w:r>
                    <w:rPr>
                      <w:lang w:val="en-US" w:eastAsia="zh-CN"/>
                    </w:rPr>
                    <w:t>《关于做好新型冠状病毒感染的肺炎疫情医疗污水和城</w:t>
                  </w:r>
                </w:p>
                <w:p>
                  <w:pPr>
                    <w:pStyle w:val="66"/>
                    <w:rPr>
                      <w:lang w:val="en-US" w:eastAsia="zh-CN"/>
                    </w:rPr>
                  </w:pPr>
                  <w:r>
                    <w:rPr>
                      <w:lang w:val="en-US" w:eastAsia="zh-CN"/>
                    </w:rPr>
                    <w:t>镇污水监管工作的通知》环办水体函</w:t>
                  </w:r>
                </w:p>
                <w:p>
                  <w:pPr>
                    <w:pStyle w:val="66"/>
                    <w:rPr>
                      <w:lang w:val="en-US" w:eastAsia="zh-CN"/>
                    </w:rPr>
                  </w:pPr>
                  <w:r>
                    <w:rPr>
                      <w:lang w:val="en-US" w:eastAsia="zh-CN"/>
                    </w:rPr>
                    <w:t>〔2020〕52号</w:t>
                  </w:r>
                </w:p>
              </w:tc>
              <w:tc>
                <w:tcPr>
                  <w:tcW w:w="3005" w:type="dxa"/>
                  <w:vAlign w:val="center"/>
                </w:tcPr>
                <w:p>
                  <w:pPr>
                    <w:pStyle w:val="66"/>
                    <w:rPr>
                      <w:lang w:val="en-US" w:eastAsia="zh-CN"/>
                    </w:rPr>
                  </w:pPr>
                  <w:r>
                    <w:rPr>
                      <w:lang w:val="en-US" w:eastAsia="zh-CN"/>
                    </w:rPr>
                    <w:t>对于产生的污水最有效的消毒方法是投加消毒剂。目前消毒剂主要以强氧化剂为主，这些消毒剂的来源主要可分为两类。一类是化学药剂，另一</w:t>
                  </w:r>
                </w:p>
                <w:p>
                  <w:pPr>
                    <w:pStyle w:val="66"/>
                    <w:rPr>
                      <w:lang w:val="en-US" w:eastAsia="zh-CN"/>
                    </w:rPr>
                  </w:pPr>
                  <w:r>
                    <w:rPr>
                      <w:lang w:val="en-US" w:eastAsia="zh-CN"/>
                    </w:rPr>
                    <w:t>类是产生消毒剂的设备。应根据不同情形选择适用的消毒剂种类和消毒方式，保证达到消毒效果。</w:t>
                  </w:r>
                </w:p>
              </w:tc>
              <w:tc>
                <w:tcPr>
                  <w:tcW w:w="1778" w:type="dxa"/>
                  <w:vAlign w:val="center"/>
                </w:tcPr>
                <w:p>
                  <w:pPr>
                    <w:pStyle w:val="66"/>
                    <w:rPr>
                      <w:lang w:val="en-US" w:eastAsia="zh-CN"/>
                    </w:rPr>
                  </w:pPr>
                  <w:r>
                    <w:rPr>
                      <w:lang w:val="en-US" w:eastAsia="zh-CN"/>
                    </w:rPr>
                    <w:t>项目污水采</w:t>
                  </w:r>
                </w:p>
                <w:p>
                  <w:pPr>
                    <w:pStyle w:val="66"/>
                    <w:rPr>
                      <w:lang w:val="en-US" w:eastAsia="zh-CN"/>
                    </w:rPr>
                  </w:pPr>
                  <w:r>
                    <w:rPr>
                      <w:lang w:val="en-US" w:eastAsia="zh-CN"/>
                    </w:rPr>
                    <w:t>用</w:t>
                  </w:r>
                  <w:r>
                    <w:rPr>
                      <w:rFonts w:hint="eastAsia"/>
                      <w:lang w:val="en-US" w:eastAsia="zh-CN"/>
                    </w:rPr>
                    <w:t>臭氧消毒</w:t>
                  </w:r>
                </w:p>
              </w:tc>
              <w:tc>
                <w:tcPr>
                  <w:tcW w:w="725" w:type="dxa"/>
                  <w:vMerge w:val="restart"/>
                  <w:vAlign w:val="center"/>
                </w:tcPr>
                <w:p>
                  <w:pPr>
                    <w:pStyle w:val="66"/>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pStyle w:val="66"/>
                    <w:rPr>
                      <w:lang w:val="en-US" w:eastAsia="zh-CN"/>
                    </w:rPr>
                  </w:pPr>
                </w:p>
              </w:tc>
              <w:tc>
                <w:tcPr>
                  <w:tcW w:w="1551" w:type="dxa"/>
                  <w:vMerge w:val="continue"/>
                  <w:vAlign w:val="center"/>
                </w:tcPr>
                <w:p>
                  <w:pPr>
                    <w:pStyle w:val="66"/>
                    <w:rPr>
                      <w:lang w:val="en-US" w:eastAsia="zh-CN"/>
                    </w:rPr>
                  </w:pPr>
                </w:p>
              </w:tc>
              <w:tc>
                <w:tcPr>
                  <w:tcW w:w="3005" w:type="dxa"/>
                  <w:vAlign w:val="center"/>
                </w:tcPr>
                <w:p>
                  <w:pPr>
                    <w:pStyle w:val="66"/>
                    <w:rPr>
                      <w:lang w:val="en-US" w:eastAsia="zh-CN"/>
                    </w:rPr>
                  </w:pPr>
                  <w:r>
                    <w:rPr>
                      <w:lang w:val="en-US" w:eastAsia="zh-CN"/>
                    </w:rPr>
                    <w:t>医院污泥应按危险废物处理处置要求，由具有危险废物处理处置资质的单位进行集中处置。</w:t>
                  </w:r>
                </w:p>
              </w:tc>
              <w:tc>
                <w:tcPr>
                  <w:tcW w:w="1778" w:type="dxa"/>
                  <w:vAlign w:val="center"/>
                </w:tcPr>
                <w:p>
                  <w:pPr>
                    <w:pStyle w:val="66"/>
                    <w:rPr>
                      <w:lang w:val="en-US" w:eastAsia="zh-CN"/>
                    </w:rPr>
                  </w:pPr>
                  <w:r>
                    <w:rPr>
                      <w:lang w:val="en-US" w:eastAsia="zh-CN"/>
                    </w:rPr>
                    <w:t>项目污水站污泥交有资质单位处置</w:t>
                  </w:r>
                </w:p>
              </w:tc>
              <w:tc>
                <w:tcPr>
                  <w:tcW w:w="725" w:type="dxa"/>
                  <w:vMerge w:val="continue"/>
                  <w:vAlign w:val="center"/>
                </w:tcPr>
                <w:p>
                  <w:pPr>
                    <w:pStyle w:val="6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Align w:val="center"/>
                </w:tcPr>
                <w:p>
                  <w:pPr>
                    <w:pStyle w:val="66"/>
                    <w:rPr>
                      <w:lang w:val="en-US" w:eastAsia="zh-CN"/>
                    </w:rPr>
                  </w:pPr>
                  <w:r>
                    <w:rPr>
                      <w:rFonts w:hint="eastAsia"/>
                      <w:lang w:val="en-US" w:eastAsia="zh-CN"/>
                    </w:rPr>
                    <w:t>3</w:t>
                  </w:r>
                </w:p>
              </w:tc>
              <w:tc>
                <w:tcPr>
                  <w:tcW w:w="1551" w:type="dxa"/>
                  <w:vAlign w:val="center"/>
                </w:tcPr>
                <w:p>
                  <w:pPr>
                    <w:pStyle w:val="66"/>
                    <w:rPr>
                      <w:lang w:val="en-US" w:eastAsia="zh-CN"/>
                    </w:rPr>
                  </w:pPr>
                  <w:r>
                    <w:rPr>
                      <w:lang w:val="en-US" w:eastAsia="zh-CN"/>
                    </w:rPr>
                    <w:t>《实验室生物安全通用要求》</w:t>
                  </w:r>
                </w:p>
                <w:p>
                  <w:pPr>
                    <w:pStyle w:val="66"/>
                    <w:rPr>
                      <w:lang w:val="en-US" w:eastAsia="zh-CN"/>
                    </w:rPr>
                  </w:pPr>
                  <w:r>
                    <w:rPr>
                      <w:lang w:val="en-US" w:eastAsia="zh-CN"/>
                    </w:rPr>
                    <w:t>（GB19489-2008）</w:t>
                  </w:r>
                </w:p>
              </w:tc>
              <w:tc>
                <w:tcPr>
                  <w:tcW w:w="3005" w:type="dxa"/>
                  <w:vAlign w:val="center"/>
                </w:tcPr>
                <w:p>
                  <w:pPr>
                    <w:pStyle w:val="66"/>
                    <w:rPr>
                      <w:lang w:val="en-US" w:eastAsia="zh-CN"/>
                    </w:rPr>
                  </w:pPr>
                  <w:r>
                    <w:rPr>
                      <w:rFonts w:hint="eastAsia"/>
                      <w:lang w:val="en-US" w:eastAsia="zh-CN"/>
                    </w:rPr>
                    <w:t>应按产品的设计要求安装和使用生物安全柜。如果生物安全柜的排风在室内循环，室内应具备通风换气的条件；如果使用需要管道排风的生物安全柜，应通过独立于建筑物其他公共通风系统的管道排出</w:t>
                  </w:r>
                </w:p>
              </w:tc>
              <w:tc>
                <w:tcPr>
                  <w:tcW w:w="1778" w:type="dxa"/>
                  <w:vAlign w:val="center"/>
                </w:tcPr>
                <w:p>
                  <w:pPr>
                    <w:pStyle w:val="66"/>
                    <w:rPr>
                      <w:lang w:val="en-US" w:eastAsia="zh-CN"/>
                    </w:rPr>
                  </w:pPr>
                  <w:r>
                    <w:rPr>
                      <w:lang w:val="en-US" w:eastAsia="zh-CN"/>
                    </w:rPr>
                    <w:t>项目生物安全柜为内循环，实验室室内均具备通</w:t>
                  </w:r>
                </w:p>
                <w:p>
                  <w:pPr>
                    <w:pStyle w:val="66"/>
                    <w:rPr>
                      <w:lang w:val="en-US" w:eastAsia="zh-CN"/>
                    </w:rPr>
                  </w:pPr>
                  <w:r>
                    <w:rPr>
                      <w:lang w:val="en-US" w:eastAsia="zh-CN"/>
                    </w:rPr>
                    <w:t>风换气的条</w:t>
                  </w:r>
                  <w:r>
                    <w:rPr>
                      <w:rFonts w:hint="eastAsia"/>
                      <w:lang w:val="en-US" w:eastAsia="zh-CN"/>
                    </w:rPr>
                    <w:t>件</w:t>
                  </w:r>
                </w:p>
              </w:tc>
              <w:tc>
                <w:tcPr>
                  <w:tcW w:w="725" w:type="dxa"/>
                  <w:vAlign w:val="center"/>
                </w:tcPr>
                <w:p>
                  <w:pPr>
                    <w:pStyle w:val="66"/>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Align w:val="center"/>
                </w:tcPr>
                <w:p>
                  <w:pPr>
                    <w:pStyle w:val="66"/>
                    <w:rPr>
                      <w:lang w:val="en-US" w:eastAsia="zh-CN"/>
                    </w:rPr>
                  </w:pPr>
                  <w:r>
                    <w:rPr>
                      <w:rFonts w:hint="eastAsia"/>
                      <w:lang w:val="en-US" w:eastAsia="zh-CN"/>
                    </w:rPr>
                    <w:t>4</w:t>
                  </w:r>
                </w:p>
              </w:tc>
              <w:tc>
                <w:tcPr>
                  <w:tcW w:w="1551" w:type="dxa"/>
                  <w:vAlign w:val="center"/>
                </w:tcPr>
                <w:p>
                  <w:pPr>
                    <w:pStyle w:val="66"/>
                    <w:rPr>
                      <w:lang w:val="en-US" w:eastAsia="zh-CN"/>
                    </w:rPr>
                  </w:pPr>
                  <w:r>
                    <w:rPr>
                      <w:lang w:val="en-US" w:eastAsia="zh-CN"/>
                    </w:rPr>
                    <w:t>《医学生物安全二级实验室建筑技术</w:t>
                  </w:r>
                </w:p>
                <w:p>
                  <w:pPr>
                    <w:pStyle w:val="66"/>
                    <w:rPr>
                      <w:lang w:val="en-US" w:eastAsia="zh-CN"/>
                    </w:rPr>
                  </w:pPr>
                  <w:r>
                    <w:rPr>
                      <w:lang w:val="en-US" w:eastAsia="zh-CN"/>
                    </w:rPr>
                    <w:t>标准》（TCECS</w:t>
                  </w:r>
                </w:p>
                <w:p>
                  <w:pPr>
                    <w:pStyle w:val="66"/>
                    <w:rPr>
                      <w:lang w:val="en-US" w:eastAsia="zh-CN"/>
                    </w:rPr>
                  </w:pPr>
                  <w:r>
                    <w:rPr>
                      <w:lang w:val="en-US" w:eastAsia="zh-CN"/>
                    </w:rPr>
                    <w:t>662-2020）</w:t>
                  </w:r>
                </w:p>
              </w:tc>
              <w:tc>
                <w:tcPr>
                  <w:tcW w:w="3005" w:type="dxa"/>
                  <w:vAlign w:val="center"/>
                </w:tcPr>
                <w:p>
                  <w:pPr>
                    <w:pStyle w:val="66"/>
                    <w:rPr>
                      <w:lang w:val="en-US" w:eastAsia="zh-CN"/>
                    </w:rPr>
                  </w:pPr>
                  <w:r>
                    <w:rPr>
                      <w:lang w:val="en-US" w:eastAsia="zh-CN"/>
                    </w:rPr>
                    <w:t>实验室墙壁、顶板和地板应光滑、易清洁、防渗漏并耐化学品和消毒剂的腐蚀。地面应防滑，不应在实验室内铺设地毯及使用织物窗帘等装饰品</w:t>
                  </w:r>
                </w:p>
              </w:tc>
              <w:tc>
                <w:tcPr>
                  <w:tcW w:w="1778" w:type="dxa"/>
                  <w:vAlign w:val="center"/>
                </w:tcPr>
                <w:p>
                  <w:pPr>
                    <w:pStyle w:val="66"/>
                    <w:rPr>
                      <w:lang w:val="en-US" w:eastAsia="zh-CN"/>
                    </w:rPr>
                  </w:pPr>
                  <w:r>
                    <w:rPr>
                      <w:lang w:val="en-US" w:eastAsia="zh-CN"/>
                    </w:rPr>
                    <w:t>项目实验室墙壁、顶板、地板采用光滑、易清洁、防渗漏、耐腐蚀的建筑材料，不设置地毯织物窗帘等装饰品</w:t>
                  </w:r>
                </w:p>
              </w:tc>
              <w:tc>
                <w:tcPr>
                  <w:tcW w:w="725" w:type="dxa"/>
                  <w:vAlign w:val="center"/>
                </w:tcPr>
                <w:p>
                  <w:pPr>
                    <w:pStyle w:val="66"/>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Align w:val="center"/>
                </w:tcPr>
                <w:p>
                  <w:pPr>
                    <w:pStyle w:val="66"/>
                    <w:rPr>
                      <w:lang w:val="en-US" w:eastAsia="zh-CN"/>
                    </w:rPr>
                  </w:pPr>
                  <w:r>
                    <w:rPr>
                      <w:rFonts w:hint="eastAsia"/>
                      <w:lang w:val="en-US" w:eastAsia="zh-CN"/>
                    </w:rPr>
                    <w:t>5</w:t>
                  </w:r>
                </w:p>
              </w:tc>
              <w:tc>
                <w:tcPr>
                  <w:tcW w:w="1551" w:type="dxa"/>
                  <w:vAlign w:val="center"/>
                </w:tcPr>
                <w:p>
                  <w:pPr>
                    <w:pStyle w:val="66"/>
                    <w:rPr>
                      <w:lang w:val="en-US" w:eastAsia="zh-CN"/>
                    </w:rPr>
                  </w:pPr>
                  <w:r>
                    <w:rPr>
                      <w:lang w:val="en-US" w:eastAsia="zh-CN"/>
                    </w:rPr>
                    <w:t>《实验室生物安全手册》（WHO第三版）</w:t>
                  </w:r>
                </w:p>
              </w:tc>
              <w:tc>
                <w:tcPr>
                  <w:tcW w:w="3005" w:type="dxa"/>
                  <w:vAlign w:val="center"/>
                </w:tcPr>
                <w:p>
                  <w:pPr>
                    <w:pStyle w:val="66"/>
                    <w:rPr>
                      <w:lang w:val="en-US" w:eastAsia="zh-CN"/>
                    </w:rPr>
                  </w:pPr>
                  <w:r>
                    <w:rPr>
                      <w:lang w:val="en-US" w:eastAsia="zh-CN"/>
                    </w:rPr>
                    <w:t>每个实验室都应有洗手池，并最好安装在出口处，尽可能用自来水</w:t>
                  </w:r>
                </w:p>
              </w:tc>
              <w:tc>
                <w:tcPr>
                  <w:tcW w:w="1778" w:type="dxa"/>
                  <w:vAlign w:val="center"/>
                </w:tcPr>
                <w:p>
                  <w:pPr>
                    <w:pStyle w:val="66"/>
                    <w:rPr>
                      <w:lang w:val="en-US" w:eastAsia="zh-CN"/>
                    </w:rPr>
                  </w:pPr>
                  <w:r>
                    <w:rPr>
                      <w:lang w:val="en-US" w:eastAsia="zh-CN"/>
                    </w:rPr>
                    <w:t>项目实验室均有洗手池，并安装在出口处，使用自来水。</w:t>
                  </w:r>
                </w:p>
              </w:tc>
              <w:tc>
                <w:tcPr>
                  <w:tcW w:w="725" w:type="dxa"/>
                  <w:vAlign w:val="center"/>
                </w:tcPr>
                <w:p>
                  <w:pPr>
                    <w:pStyle w:val="66"/>
                    <w:rPr>
                      <w:lang w:val="en-US" w:eastAsia="zh-CN"/>
                    </w:rPr>
                  </w:pPr>
                  <w:r>
                    <w:rPr>
                      <w:rFonts w:hint="eastAsia"/>
                      <w:lang w:val="en-US" w:eastAsia="zh-CN"/>
                    </w:rPr>
                    <w:t>符合</w:t>
                  </w:r>
                </w:p>
              </w:tc>
            </w:tr>
          </w:tbl>
          <w:p>
            <w:pPr>
              <w:ind w:firstLine="480"/>
              <w:rPr>
                <w:lang w:val="zh-CN" w:eastAsia="zh-CN"/>
              </w:rPr>
            </w:pPr>
          </w:p>
        </w:tc>
      </w:tr>
    </w:tbl>
    <w:p>
      <w:pPr>
        <w:ind w:firstLine="480"/>
        <w:sectPr>
          <w:footerReference r:id="rId11" w:type="default"/>
          <w:pgSz w:w="11906" w:h="16838"/>
          <w:pgMar w:top="1440" w:right="1800" w:bottom="1440" w:left="1800" w:header="851" w:footer="992" w:gutter="0"/>
          <w:pgNumType w:start="1"/>
          <w:cols w:space="720" w:num="1"/>
          <w:docGrid w:type="lines" w:linePitch="326" w:charSpace="0"/>
        </w:sectPr>
      </w:pPr>
    </w:p>
    <w:p>
      <w:pPr>
        <w:pStyle w:val="2"/>
        <w:spacing w:before="326" w:after="326"/>
      </w:pPr>
      <w:bookmarkStart w:id="41" w:name="_Toc122338489"/>
      <w:r>
        <w:rPr>
          <w:rFonts w:hint="eastAsia"/>
          <w:lang w:eastAsia="zh-CN"/>
        </w:rPr>
        <w:t>建设项目工程分析</w:t>
      </w:r>
      <w:bookmarkEnd w:id="41"/>
    </w:p>
    <w:tbl>
      <w:tblPr>
        <w:tblStyle w:val="3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71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91" w:type="dxa"/>
            <w:vAlign w:val="center"/>
          </w:tcPr>
          <w:p>
            <w:pPr>
              <w:spacing w:line="240" w:lineRule="auto"/>
              <w:ind w:firstLine="0" w:firstLineChars="0"/>
              <w:jc w:val="center"/>
              <w:rPr>
                <w:szCs w:val="21"/>
              </w:rPr>
            </w:pPr>
            <w:r>
              <w:rPr>
                <w:rFonts w:hint="eastAsia"/>
                <w:szCs w:val="21"/>
              </w:rPr>
              <w:t>建设内容</w:t>
            </w:r>
          </w:p>
        </w:tc>
        <w:tc>
          <w:tcPr>
            <w:tcW w:w="7179" w:type="dxa"/>
          </w:tcPr>
          <w:p>
            <w:pPr>
              <w:pStyle w:val="3"/>
              <w:rPr>
                <w:lang w:eastAsia="zh-CN"/>
              </w:rPr>
            </w:pPr>
            <w:bookmarkStart w:id="42" w:name="_Toc120889793"/>
            <w:bookmarkStart w:id="43" w:name="_Toc121147722"/>
            <w:bookmarkStart w:id="44" w:name="_Toc122338490"/>
            <w:r>
              <w:rPr>
                <w:rFonts w:hint="eastAsia"/>
                <w:lang w:eastAsia="zh-CN"/>
              </w:rPr>
              <w:t>项目由来</w:t>
            </w:r>
            <w:bookmarkEnd w:id="42"/>
            <w:bookmarkEnd w:id="43"/>
            <w:bookmarkEnd w:id="44"/>
          </w:p>
          <w:p>
            <w:pPr>
              <w:ind w:firstLine="480"/>
            </w:pPr>
            <w:r>
              <w:rPr>
                <w:rFonts w:hint="eastAsia"/>
                <w:lang w:val="zh-CN"/>
              </w:rPr>
              <w:t>广东中恒医学检验有限公司位于茂名高新技术产业开发区恒基路99号，广东中恒医学检验有限公司租赁广东恒福医药有限公司的1、2层空仓库进行改造，建设</w:t>
            </w:r>
            <w:r>
              <w:rPr>
                <w:rFonts w:hint="eastAsia"/>
              </w:rPr>
              <w:t>广东中恒医学检验中心建设项目（以下简称“本项目”）</w:t>
            </w:r>
            <w:r>
              <w:t>，</w:t>
            </w:r>
            <w:r>
              <w:rPr>
                <w:rFonts w:hint="eastAsia"/>
              </w:rPr>
              <w:t>项目</w:t>
            </w:r>
            <w:r>
              <w:t>从事医学检验实验服务</w:t>
            </w:r>
            <w:r>
              <w:rPr>
                <w:rFonts w:hint="eastAsia"/>
              </w:rPr>
              <w:t>，</w:t>
            </w:r>
            <w:r>
              <w:t>属于第三方医学检验实验室</w:t>
            </w:r>
            <w:r>
              <w:rPr>
                <w:rFonts w:hint="eastAsia"/>
              </w:rPr>
              <w:t>。项目占地面积为1</w:t>
            </w:r>
            <w:r>
              <w:t>538.84</w:t>
            </w:r>
            <w:r>
              <w:rPr>
                <w:rFonts w:hint="eastAsia"/>
              </w:rPr>
              <w:t>m</w:t>
            </w:r>
            <w:r>
              <w:rPr>
                <w:vertAlign w:val="superscript"/>
              </w:rPr>
              <w:t>2</w:t>
            </w:r>
            <w:r>
              <w:rPr>
                <w:rFonts w:hint="eastAsia"/>
              </w:rPr>
              <w:t>，建筑面积为</w:t>
            </w:r>
            <w:r>
              <w:rPr>
                <w:lang w:val="zh-CN"/>
              </w:rPr>
              <w:t>3077.68</w:t>
            </w:r>
            <w:r>
              <w:rPr>
                <w:rFonts w:hint="eastAsia"/>
                <w:lang w:val="zh-CN"/>
              </w:rPr>
              <w:t>m</w:t>
            </w:r>
            <w:r>
              <w:rPr>
                <w:vertAlign w:val="superscript"/>
                <w:lang w:val="zh-CN"/>
              </w:rPr>
              <w:t>2</w:t>
            </w:r>
            <w:r>
              <w:rPr>
                <w:rFonts w:hint="eastAsia"/>
                <w:lang w:val="zh-CN"/>
              </w:rPr>
              <w:t>，总投资</w:t>
            </w:r>
            <w:r>
              <w:rPr>
                <w:lang w:val="zh-CN"/>
              </w:rPr>
              <w:t>7000</w:t>
            </w:r>
            <w:r>
              <w:rPr>
                <w:rFonts w:hint="eastAsia"/>
                <w:lang w:val="zh-CN"/>
              </w:rPr>
              <w:t>万元，其中环保投资5</w:t>
            </w:r>
            <w:r>
              <w:rPr>
                <w:lang w:val="zh-CN"/>
              </w:rPr>
              <w:t>5</w:t>
            </w:r>
            <w:r>
              <w:rPr>
                <w:rFonts w:hint="eastAsia"/>
                <w:lang w:val="zh-CN"/>
              </w:rPr>
              <w:t>万元。</w:t>
            </w:r>
          </w:p>
          <w:p>
            <w:pPr>
              <w:ind w:firstLine="480"/>
              <w:rPr>
                <w:lang w:val="zh-CN"/>
              </w:rPr>
            </w:pPr>
            <w:r>
              <w:rPr>
                <w:rFonts w:hint="eastAsia"/>
                <w:lang w:val="zh-CN"/>
              </w:rPr>
              <w:t>根据《中华人民共和国环境影响评价法》（2018年12月29日修正）和《建设项目环境保护管理条例》（国务院第682号令）的有关规定，本项目应进行环境影响评价。根据《建设项目环境影响评价分类管理名录》（2021年版），本项目属于“四十五、研究和试验发展—98专业实验室、研发（试验）基地”。其中，“P3、P4生物安全实验室；转基因实验室”需编制报告书，“其他（不产生实验废气、废水、危险废物的除外）”需编制报告表。</w:t>
            </w:r>
          </w:p>
          <w:p>
            <w:pPr>
              <w:ind w:firstLine="480"/>
              <w:rPr>
                <w:lang w:val="zh-CN"/>
              </w:rPr>
            </w:pPr>
            <w:r>
              <w:rPr>
                <w:rFonts w:hint="eastAsia"/>
                <w:lang w:val="zh-CN"/>
              </w:rPr>
              <w:t>由于项目检测内容中涉及新冠检测，根据《人间传染的病原微生物名录》（卫科教发〔2006〕15号）、《人间传染的病原微生物目录》（征求意见稿）确定本项目所需的实验室生物安全防护等级为P2。根据《新型冠状病毒实验室生物安全指南（第二版）》“感染性材料或活病毒在采用可靠的方法灭活后进行的核酸检测、抗原检测、血清学检测、生化分析等操作应当在生物安全二级实验室进行”，本项目从事感染性疾病分子生物学检测时，应当在生物安全二级实验室进行，因此本项目实验室为P2实验室，不属于P3、P4生物安全实验室、转基因实验室，属“其他”类项目，应编制环境影响报告表。</w:t>
            </w:r>
          </w:p>
          <w:p>
            <w:pPr>
              <w:pStyle w:val="4"/>
            </w:pPr>
            <w:bookmarkStart w:id="45" w:name="_Toc120889794"/>
            <w:bookmarkStart w:id="46" w:name="_Toc121147723"/>
            <w:bookmarkStart w:id="47" w:name="_Toc122338491"/>
            <w:r>
              <w:rPr>
                <w:rFonts w:hint="eastAsia"/>
              </w:rPr>
              <w:t>建设内容及规模</w:t>
            </w:r>
            <w:bookmarkEnd w:id="45"/>
            <w:bookmarkEnd w:id="46"/>
            <w:bookmarkEnd w:id="47"/>
          </w:p>
          <w:p>
            <w:pPr>
              <w:ind w:firstLine="480"/>
              <w:rPr>
                <w:lang w:val="zh-CN"/>
              </w:rPr>
            </w:pPr>
            <w:r>
              <w:rPr>
                <w:rFonts w:hint="eastAsia"/>
                <w:lang w:val="zh-CN"/>
              </w:rPr>
              <w:t>本项目位于茂名市高新区恒基路99号大院B仓一、二楼及建筑外东侧外延3米范围，总建筑面积为</w:t>
            </w:r>
            <w:r>
              <w:rPr>
                <w:lang w:val="zh-CN"/>
              </w:rPr>
              <w:t>3077.68</w:t>
            </w:r>
            <w:r>
              <w:rPr>
                <w:rFonts w:hint="eastAsia"/>
                <w:lang w:val="zh-CN"/>
              </w:rPr>
              <w:t>m</w:t>
            </w:r>
            <w:r>
              <w:rPr>
                <w:vertAlign w:val="superscript"/>
                <w:lang w:val="zh-CN"/>
              </w:rPr>
              <w:t>2</w:t>
            </w:r>
            <w:r>
              <w:rPr>
                <w:rFonts w:hint="eastAsia"/>
                <w:lang w:val="zh-CN"/>
              </w:rPr>
              <w:t>，项目用地的四五楼为恒福制药生产车间，三楼为空闲楼层。本项目为医学检验中心，所使用的原辅材料、生产的产品、废水废气等环保设施均只为项目本身建设内容，不与楼上的中药制药相关联，同时项目本身检验中心，密闭条件及通风条件根据相关要求建设，两个车间互不联通，因此两个项目互不影响。</w:t>
            </w:r>
          </w:p>
          <w:p>
            <w:pPr>
              <w:ind w:firstLine="480"/>
            </w:pPr>
            <w:r>
              <w:rPr>
                <w:rFonts w:hint="eastAsia"/>
                <w:lang w:val="zh-CN"/>
              </w:rPr>
              <w:t>项目检验室类别包括</w:t>
            </w:r>
            <w:r>
              <w:rPr>
                <w:rFonts w:hint="eastAsia"/>
              </w:rPr>
              <w:t>（1）临床血液与体液检验专业实验室。（2）临床化学检验专业实验室。（3）临床免疫检验专业实验室。（4）临床微生物检验专业实验室。（5）临床细胞分子遗传学专业实验室。（6）新冠筛查实验室。具体建设内容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项目组成及主要建设内容</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154"/>
              <w:gridCol w:w="4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pPr>
                    <w:pStyle w:val="56"/>
                  </w:pPr>
                  <w:r>
                    <w:rPr>
                      <w:rFonts w:hint="eastAsia"/>
                      <w:lang w:eastAsia="zh-CN"/>
                    </w:rPr>
                    <w:t>项目</w:t>
                  </w:r>
                </w:p>
              </w:tc>
              <w:tc>
                <w:tcPr>
                  <w:tcW w:w="830" w:type="pct"/>
                  <w:vAlign w:val="center"/>
                </w:tcPr>
                <w:p>
                  <w:pPr>
                    <w:pStyle w:val="56"/>
                  </w:pPr>
                  <w:r>
                    <w:rPr>
                      <w:rFonts w:hint="eastAsia"/>
                      <w:lang w:eastAsia="zh-CN"/>
                    </w:rPr>
                    <w:t>工程内容</w:t>
                  </w:r>
                </w:p>
              </w:tc>
              <w:tc>
                <w:tcPr>
                  <w:tcW w:w="3202" w:type="pct"/>
                  <w:vAlign w:val="center"/>
                </w:tcPr>
                <w:p>
                  <w:pPr>
                    <w:pStyle w:val="56"/>
                    <w:rPr>
                      <w:lang w:eastAsia="zh-CN"/>
                    </w:rPr>
                  </w:pPr>
                  <w:r>
                    <w:rPr>
                      <w:rFonts w:hint="eastAsia"/>
                      <w:lang w:eastAsia="zh-CN"/>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restart"/>
                  <w:vAlign w:val="center"/>
                </w:tcPr>
                <w:p>
                  <w:pPr>
                    <w:pStyle w:val="56"/>
                  </w:pPr>
                  <w:r>
                    <w:rPr>
                      <w:rFonts w:hint="eastAsia"/>
                      <w:lang w:eastAsia="zh-CN"/>
                    </w:rPr>
                    <w:t>主体工程</w:t>
                  </w:r>
                </w:p>
              </w:tc>
              <w:tc>
                <w:tcPr>
                  <w:tcW w:w="830" w:type="pct"/>
                  <w:vAlign w:val="center"/>
                </w:tcPr>
                <w:p>
                  <w:pPr>
                    <w:pStyle w:val="56"/>
                  </w:pPr>
                  <w:r>
                    <w:rPr>
                      <w:rFonts w:hint="eastAsia"/>
                      <w:lang w:eastAsia="zh-CN"/>
                    </w:rPr>
                    <w:t>实验室一层</w:t>
                  </w:r>
                </w:p>
              </w:tc>
              <w:tc>
                <w:tcPr>
                  <w:tcW w:w="3202" w:type="pct"/>
                  <w:vAlign w:val="center"/>
                </w:tcPr>
                <w:p>
                  <w:pPr>
                    <w:pStyle w:val="56"/>
                    <w:rPr>
                      <w:lang w:eastAsia="zh-CN"/>
                    </w:rPr>
                  </w:pPr>
                  <w:r>
                    <w:rPr>
                      <w:rFonts w:hint="eastAsia"/>
                      <w:lang w:eastAsia="zh-CN"/>
                    </w:rPr>
                    <w:t>总建筑面积1</w:t>
                  </w:r>
                  <w:r>
                    <w:rPr>
                      <w:lang w:eastAsia="zh-CN"/>
                    </w:rPr>
                    <w:t>538.84</w:t>
                  </w:r>
                  <w:r>
                    <w:rPr>
                      <w:rFonts w:hint="eastAsia"/>
                      <w:lang w:eastAsia="zh-CN"/>
                    </w:rPr>
                    <w:t>m</w:t>
                  </w:r>
                  <w:r>
                    <w:rPr>
                      <w:vertAlign w:val="superscript"/>
                      <w:lang w:eastAsia="zh-CN"/>
                    </w:rPr>
                    <w:t>2</w:t>
                  </w:r>
                  <w:r>
                    <w:rPr>
                      <w:rFonts w:hint="eastAsia"/>
                      <w:lang w:eastAsia="zh-CN"/>
                    </w:rPr>
                    <w:t>，主要包括样品制备区4个，试剂准备区2个，分析室</w:t>
                  </w:r>
                  <w:r>
                    <w:rPr>
                      <w:lang w:eastAsia="zh-CN"/>
                    </w:rPr>
                    <w:t>2</w:t>
                  </w:r>
                  <w:r>
                    <w:rPr>
                      <w:rFonts w:hint="eastAsia"/>
                      <w:lang w:eastAsia="zh-CN"/>
                    </w:rPr>
                    <w:t>个，同时还包括DNA打断区、文库储备区，杂交捕获区、文库扩增区、文库检测区、测序区、电泳区、扩增室、试剂准备间、洁具间、洗消室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pPr>
                  <w:r>
                    <w:rPr>
                      <w:rFonts w:hint="eastAsia"/>
                      <w:lang w:eastAsia="zh-CN"/>
                    </w:rPr>
                    <w:t>实验室二层</w:t>
                  </w:r>
                </w:p>
              </w:tc>
              <w:tc>
                <w:tcPr>
                  <w:tcW w:w="3202" w:type="pct"/>
                  <w:vAlign w:val="center"/>
                </w:tcPr>
                <w:p>
                  <w:pPr>
                    <w:pStyle w:val="56"/>
                  </w:pPr>
                  <w:r>
                    <w:rPr>
                      <w:rFonts w:hint="eastAsia"/>
                      <w:lang w:eastAsia="zh-CN"/>
                    </w:rPr>
                    <w:t>总建筑面积1</w:t>
                  </w:r>
                  <w:r>
                    <w:rPr>
                      <w:lang w:eastAsia="zh-CN"/>
                    </w:rPr>
                    <w:t>538.84</w:t>
                  </w:r>
                  <w:r>
                    <w:rPr>
                      <w:rFonts w:hint="eastAsia"/>
                      <w:lang w:eastAsia="zh-CN"/>
                    </w:rPr>
                    <w:t>m</w:t>
                  </w:r>
                  <w:r>
                    <w:rPr>
                      <w:vertAlign w:val="superscript"/>
                      <w:lang w:eastAsia="zh-CN"/>
                    </w:rPr>
                    <w:t>2</w:t>
                  </w:r>
                  <w:r>
                    <w:rPr>
                      <w:rFonts w:hint="eastAsia"/>
                      <w:lang w:eastAsia="zh-CN"/>
                    </w:rPr>
                    <w:t>，主要包括流式细胞区、生化免疫荧光区、试剂耗材库、尿粪分析室、样品前处理室、接种室、微生物前处理室、质谱区、TB结核区、血清学检验室、洗消室、强电间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restart"/>
                  <w:vAlign w:val="center"/>
                </w:tcPr>
                <w:p>
                  <w:pPr>
                    <w:pStyle w:val="56"/>
                  </w:pPr>
                  <w:r>
                    <w:rPr>
                      <w:rFonts w:hint="eastAsia"/>
                      <w:lang w:eastAsia="zh-CN"/>
                    </w:rPr>
                    <w:t>储运工程</w:t>
                  </w:r>
                </w:p>
              </w:tc>
              <w:tc>
                <w:tcPr>
                  <w:tcW w:w="830" w:type="pct"/>
                  <w:vAlign w:val="center"/>
                </w:tcPr>
                <w:p>
                  <w:pPr>
                    <w:pStyle w:val="56"/>
                  </w:pPr>
                  <w:r>
                    <w:rPr>
                      <w:rFonts w:hint="eastAsia"/>
                      <w:lang w:eastAsia="zh-CN"/>
                    </w:rPr>
                    <w:t>储物间</w:t>
                  </w:r>
                </w:p>
              </w:tc>
              <w:tc>
                <w:tcPr>
                  <w:tcW w:w="3202" w:type="pct"/>
                  <w:vAlign w:val="center"/>
                </w:tcPr>
                <w:p>
                  <w:pPr>
                    <w:pStyle w:val="56"/>
                  </w:pPr>
                  <w:r>
                    <w:rPr>
                      <w:rFonts w:hint="eastAsia"/>
                      <w:lang w:eastAsia="zh-CN"/>
                    </w:rPr>
                    <w:t>1个，位于一楼东北侧，7</w:t>
                  </w:r>
                  <w:r>
                    <w:rPr>
                      <w:lang w:eastAsia="zh-CN"/>
                    </w:rPr>
                    <w:t>.33</w:t>
                  </w:r>
                  <w:r>
                    <w:rPr>
                      <w:rFonts w:hint="eastAsia"/>
                      <w:lang w:eastAsia="zh-CN"/>
                    </w:rPr>
                    <w:t>m</w:t>
                  </w:r>
                  <w:r>
                    <w:rPr>
                      <w:rFonts w:hint="eastAsia"/>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rPr>
                      <w:lang w:eastAsia="zh-CN"/>
                    </w:rPr>
                  </w:pPr>
                </w:p>
              </w:tc>
              <w:tc>
                <w:tcPr>
                  <w:tcW w:w="830" w:type="pct"/>
                  <w:vAlign w:val="center"/>
                </w:tcPr>
                <w:p>
                  <w:pPr>
                    <w:pStyle w:val="56"/>
                    <w:rPr>
                      <w:lang w:eastAsia="zh-CN"/>
                    </w:rPr>
                  </w:pPr>
                  <w:r>
                    <w:rPr>
                      <w:rFonts w:hint="eastAsia"/>
                      <w:lang w:eastAsia="zh-CN"/>
                    </w:rPr>
                    <w:t>样品暂存间</w:t>
                  </w:r>
                </w:p>
              </w:tc>
              <w:tc>
                <w:tcPr>
                  <w:tcW w:w="3202" w:type="pct"/>
                  <w:vAlign w:val="center"/>
                </w:tcPr>
                <w:p>
                  <w:pPr>
                    <w:pStyle w:val="56"/>
                    <w:rPr>
                      <w:lang w:eastAsia="zh-CN"/>
                    </w:rPr>
                  </w:pPr>
                  <w:r>
                    <w:rPr>
                      <w:rFonts w:hint="eastAsia"/>
                      <w:lang w:eastAsia="zh-CN"/>
                    </w:rPr>
                    <w:t>位于二层，1</w:t>
                  </w:r>
                  <w:r>
                    <w:rPr>
                      <w:lang w:eastAsia="zh-CN"/>
                    </w:rPr>
                    <w:t>9.60</w:t>
                  </w:r>
                  <w:r>
                    <w:rPr>
                      <w:rFonts w:hint="eastAsia"/>
                      <w:lang w:eastAsia="zh-CN"/>
                    </w:rPr>
                    <w:t>m</w:t>
                  </w:r>
                  <w:r>
                    <w:rPr>
                      <w:rFonts w:hint="eastAsia"/>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pPr>
                  <w:r>
                    <w:rPr>
                      <w:rFonts w:hint="eastAsia"/>
                      <w:lang w:eastAsia="zh-CN"/>
                    </w:rPr>
                    <w:t>废弃物暂存间</w:t>
                  </w:r>
                </w:p>
              </w:tc>
              <w:tc>
                <w:tcPr>
                  <w:tcW w:w="3202" w:type="pct"/>
                  <w:vAlign w:val="center"/>
                </w:tcPr>
                <w:p>
                  <w:pPr>
                    <w:pStyle w:val="56"/>
                  </w:pPr>
                  <w:r>
                    <w:rPr>
                      <w:rFonts w:hint="eastAsia"/>
                      <w:lang w:eastAsia="zh-CN"/>
                    </w:rPr>
                    <w:t>1个，位于一楼东北侧1</w:t>
                  </w:r>
                  <w:r>
                    <w:rPr>
                      <w:lang w:eastAsia="zh-CN"/>
                    </w:rPr>
                    <w:t>7.13</w:t>
                  </w:r>
                  <w:r>
                    <w:rPr>
                      <w:rFonts w:hint="eastAsia"/>
                      <w:lang w:eastAsia="zh-CN"/>
                    </w:rPr>
                    <w:t>m</w:t>
                  </w:r>
                  <w:r>
                    <w:rPr>
                      <w:rFonts w:hint="eastAsia"/>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pPr>
                  <w:r>
                    <w:rPr>
                      <w:rFonts w:hint="eastAsia"/>
                      <w:lang w:eastAsia="zh-CN"/>
                    </w:rPr>
                    <w:t>样本库</w:t>
                  </w:r>
                </w:p>
              </w:tc>
              <w:tc>
                <w:tcPr>
                  <w:tcW w:w="3202" w:type="pct"/>
                  <w:vAlign w:val="center"/>
                </w:tcPr>
                <w:p>
                  <w:pPr>
                    <w:pStyle w:val="56"/>
                    <w:rPr>
                      <w:lang w:eastAsia="zh-CN"/>
                    </w:rPr>
                  </w:pPr>
                  <w:r>
                    <w:rPr>
                      <w:rFonts w:hint="eastAsia"/>
                      <w:lang w:eastAsia="zh-CN"/>
                    </w:rPr>
                    <w:t>1个，位于项目东南侧2</w:t>
                  </w:r>
                  <w:r>
                    <w:rPr>
                      <w:lang w:eastAsia="zh-CN"/>
                    </w:rPr>
                    <w:t>5.28</w:t>
                  </w:r>
                  <w:r>
                    <w:rPr>
                      <w:rFonts w:hint="eastAsia"/>
                      <w:lang w:eastAsia="zh-CN"/>
                    </w:rPr>
                    <w:t>m</w:t>
                  </w:r>
                  <w:r>
                    <w:rPr>
                      <w:rFonts w:hint="eastAsia"/>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危化品库</w:t>
                  </w:r>
                </w:p>
              </w:tc>
              <w:tc>
                <w:tcPr>
                  <w:tcW w:w="3202" w:type="pct"/>
                  <w:vAlign w:val="center"/>
                </w:tcPr>
                <w:p>
                  <w:pPr>
                    <w:pStyle w:val="56"/>
                    <w:rPr>
                      <w:lang w:eastAsia="zh-CN"/>
                    </w:rPr>
                  </w:pPr>
                  <w:r>
                    <w:rPr>
                      <w:rFonts w:hint="eastAsia"/>
                      <w:lang w:eastAsia="zh-CN"/>
                    </w:rPr>
                    <w:t>1个，位于项目南侧，6</w:t>
                  </w:r>
                  <w:r>
                    <w:rPr>
                      <w:lang w:eastAsia="zh-CN"/>
                    </w:rPr>
                    <w:t>.9</w:t>
                  </w:r>
                  <w:r>
                    <w:rPr>
                      <w:rFonts w:hint="eastAsia"/>
                      <w:lang w:eastAsia="zh-CN"/>
                    </w:rPr>
                    <w:t>m</w:t>
                  </w:r>
                  <w:r>
                    <w:rPr>
                      <w:rFonts w:hint="eastAsia"/>
                      <w:vertAlign w:val="superscript"/>
                      <w:lang w:eastAsia="zh-CN"/>
                    </w:rPr>
                    <w:t>2</w:t>
                  </w:r>
                  <w:r>
                    <w:rPr>
                      <w:rFonts w:hint="eastAsia"/>
                      <w:lang w:eastAsia="zh-CN"/>
                    </w:rPr>
                    <w:t>，主要储存盐酸、氢氧化钠、乙醇、消毒片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试剂耗材库</w:t>
                  </w:r>
                </w:p>
              </w:tc>
              <w:tc>
                <w:tcPr>
                  <w:tcW w:w="3202" w:type="pct"/>
                  <w:vAlign w:val="center"/>
                </w:tcPr>
                <w:p>
                  <w:pPr>
                    <w:pStyle w:val="56"/>
                    <w:rPr>
                      <w:lang w:eastAsia="zh-CN"/>
                    </w:rPr>
                  </w:pPr>
                  <w:r>
                    <w:rPr>
                      <w:rFonts w:hint="eastAsia"/>
                      <w:lang w:eastAsia="zh-CN"/>
                    </w:rPr>
                    <w:t>2个，一层二层各一个，共1</w:t>
                  </w:r>
                  <w:r>
                    <w:rPr>
                      <w:lang w:eastAsia="zh-CN"/>
                    </w:rPr>
                    <w:t>07.25</w:t>
                  </w:r>
                  <w:r>
                    <w:rPr>
                      <w:rFonts w:hint="eastAsia"/>
                      <w:lang w:eastAsia="zh-CN"/>
                    </w:rPr>
                    <w:t>m</w:t>
                  </w:r>
                  <w:r>
                    <w:rPr>
                      <w:rFonts w:hint="eastAsia"/>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数据储存间</w:t>
                  </w:r>
                </w:p>
              </w:tc>
              <w:tc>
                <w:tcPr>
                  <w:tcW w:w="3202" w:type="pct"/>
                  <w:vAlign w:val="center"/>
                </w:tcPr>
                <w:p>
                  <w:pPr>
                    <w:pStyle w:val="56"/>
                  </w:pPr>
                  <w:r>
                    <w:rPr>
                      <w:rFonts w:hint="eastAsia"/>
                      <w:lang w:eastAsia="zh-CN"/>
                    </w:rPr>
                    <w:t>1个，位于一层，1</w:t>
                  </w:r>
                  <w:r>
                    <w:rPr>
                      <w:lang w:eastAsia="zh-CN"/>
                    </w:rPr>
                    <w:t>3.09</w:t>
                  </w:r>
                  <w:r>
                    <w:rPr>
                      <w:rFonts w:hint="eastAsia"/>
                      <w:lang w:eastAsia="zh-CN"/>
                    </w:rPr>
                    <w:t>m</w:t>
                  </w:r>
                  <w:r>
                    <w:rPr>
                      <w:rFonts w:hint="eastAsia"/>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4度冷库</w:t>
                  </w:r>
                </w:p>
              </w:tc>
              <w:tc>
                <w:tcPr>
                  <w:tcW w:w="3202" w:type="pct"/>
                  <w:vAlign w:val="center"/>
                </w:tcPr>
                <w:p>
                  <w:pPr>
                    <w:pStyle w:val="56"/>
                    <w:rPr>
                      <w:lang w:eastAsia="zh-CN"/>
                    </w:rPr>
                  </w:pPr>
                  <w:r>
                    <w:rPr>
                      <w:rFonts w:hint="eastAsia"/>
                      <w:lang w:eastAsia="zh-CN"/>
                    </w:rPr>
                    <w:t>1个，位于二层，1</w:t>
                  </w:r>
                  <w:r>
                    <w:rPr>
                      <w:lang w:eastAsia="zh-CN"/>
                    </w:rPr>
                    <w:t>5.58</w:t>
                  </w:r>
                  <w:r>
                    <w:rPr>
                      <w:rFonts w:hint="eastAsia"/>
                      <w:lang w:eastAsia="zh-CN"/>
                    </w:rPr>
                    <w:t>m</w:t>
                  </w:r>
                  <w:r>
                    <w:rPr>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restart"/>
                  <w:vAlign w:val="center"/>
                </w:tcPr>
                <w:p>
                  <w:pPr>
                    <w:pStyle w:val="56"/>
                  </w:pPr>
                  <w:r>
                    <w:rPr>
                      <w:rFonts w:hint="eastAsia"/>
                      <w:lang w:eastAsia="zh-CN"/>
                    </w:rPr>
                    <w:t>公用工程</w:t>
                  </w:r>
                </w:p>
              </w:tc>
              <w:tc>
                <w:tcPr>
                  <w:tcW w:w="830" w:type="pct"/>
                  <w:vAlign w:val="center"/>
                </w:tcPr>
                <w:p>
                  <w:pPr>
                    <w:pStyle w:val="56"/>
                    <w:rPr>
                      <w:lang w:eastAsia="zh-CN"/>
                    </w:rPr>
                  </w:pPr>
                  <w:r>
                    <w:rPr>
                      <w:rFonts w:hint="eastAsia"/>
                      <w:lang w:eastAsia="zh-CN"/>
                    </w:rPr>
                    <w:t>供水</w:t>
                  </w:r>
                </w:p>
              </w:tc>
              <w:tc>
                <w:tcPr>
                  <w:tcW w:w="3202" w:type="pct"/>
                  <w:vAlign w:val="center"/>
                </w:tcPr>
                <w:p>
                  <w:pPr>
                    <w:pStyle w:val="56"/>
                  </w:pPr>
                  <w:r>
                    <w:rPr>
                      <w:rFonts w:hint="eastAsia"/>
                      <w:lang w:eastAsia="zh-CN"/>
                    </w:rPr>
                    <w:t>用水由市政管网提供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供电</w:t>
                  </w:r>
                </w:p>
              </w:tc>
              <w:tc>
                <w:tcPr>
                  <w:tcW w:w="3202" w:type="pct"/>
                  <w:vAlign w:val="center"/>
                </w:tcPr>
                <w:p>
                  <w:pPr>
                    <w:pStyle w:val="56"/>
                  </w:pPr>
                  <w:r>
                    <w:rPr>
                      <w:rFonts w:hint="eastAsia"/>
                    </w:rPr>
                    <w:t>市政电网接入，不设备用发电机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纯水制备</w:t>
                  </w:r>
                </w:p>
              </w:tc>
              <w:tc>
                <w:tcPr>
                  <w:tcW w:w="3202" w:type="pct"/>
                  <w:vAlign w:val="center"/>
                </w:tcPr>
                <w:p>
                  <w:pPr>
                    <w:pStyle w:val="56"/>
                    <w:rPr>
                      <w:lang w:eastAsia="zh-CN"/>
                    </w:rPr>
                  </w:pPr>
                  <w:r>
                    <w:rPr>
                      <w:rFonts w:hint="eastAsia"/>
                      <w:lang w:eastAsia="zh-CN"/>
                    </w:rPr>
                    <w:t>设一套纯水系统（5</w:t>
                  </w:r>
                  <w:r>
                    <w:rPr>
                      <w:lang w:eastAsia="zh-CN"/>
                    </w:rPr>
                    <w:t>00</w:t>
                  </w:r>
                  <w:r>
                    <w:rPr>
                      <w:rFonts w:hint="eastAsia"/>
                      <w:lang w:eastAsia="zh-CN"/>
                    </w:rPr>
                    <w:t>L/h），年制纯水量为</w:t>
                  </w:r>
                  <w:r>
                    <w:t>320.01</w:t>
                  </w:r>
                  <w:r>
                    <w:rPr>
                      <w:rFonts w:hint="eastAsia"/>
                      <w:lang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排水</w:t>
                  </w:r>
                </w:p>
              </w:tc>
              <w:tc>
                <w:tcPr>
                  <w:tcW w:w="3202" w:type="pct"/>
                  <w:vAlign w:val="center"/>
                </w:tcPr>
                <w:p>
                  <w:pPr>
                    <w:pStyle w:val="56"/>
                    <w:rPr>
                      <w:lang w:eastAsia="zh-CN"/>
                    </w:rPr>
                  </w:pPr>
                  <w:r>
                    <w:rPr>
                      <w:rFonts w:hint="eastAsia"/>
                      <w:lang w:eastAsia="zh-CN"/>
                    </w:rPr>
                    <w:t>员工生活废水、实验室废水通过企业自建污水处理设施处理后，通过园区管网排至</w:t>
                  </w:r>
                  <w:r>
                    <w:rPr>
                      <w:rFonts w:ascii="Arial" w:hAnsi="Arial" w:cs="Arial"/>
                      <w:shd w:val="clear" w:color="auto" w:fill="FFFFFF"/>
                    </w:rPr>
                    <w:t>茂名高新技术产业开发区污水处理厂</w:t>
                  </w:r>
                  <w:r>
                    <w:rPr>
                      <w:rFonts w:hint="eastAsia" w:ascii="Arial" w:hAnsi="Arial" w:cs="Arial"/>
                      <w:shd w:val="clear" w:color="auto" w:fill="FFFFFF"/>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restart"/>
                  <w:vAlign w:val="center"/>
                </w:tcPr>
                <w:p>
                  <w:pPr>
                    <w:pStyle w:val="56"/>
                  </w:pPr>
                  <w:r>
                    <w:rPr>
                      <w:rFonts w:hint="eastAsia"/>
                      <w:lang w:eastAsia="zh-CN"/>
                    </w:rPr>
                    <w:t>辅助工程</w:t>
                  </w:r>
                </w:p>
              </w:tc>
              <w:tc>
                <w:tcPr>
                  <w:tcW w:w="830" w:type="pct"/>
                  <w:vAlign w:val="center"/>
                </w:tcPr>
                <w:p>
                  <w:pPr>
                    <w:pStyle w:val="56"/>
                    <w:rPr>
                      <w:lang w:eastAsia="zh-CN"/>
                    </w:rPr>
                  </w:pPr>
                  <w:r>
                    <w:rPr>
                      <w:rFonts w:hint="eastAsia"/>
                      <w:lang w:eastAsia="zh-CN"/>
                    </w:rPr>
                    <w:t>空调机房</w:t>
                  </w:r>
                </w:p>
              </w:tc>
              <w:tc>
                <w:tcPr>
                  <w:tcW w:w="3202" w:type="pct"/>
                  <w:vAlign w:val="center"/>
                </w:tcPr>
                <w:p>
                  <w:pPr>
                    <w:pStyle w:val="56"/>
                    <w:rPr>
                      <w:lang w:eastAsia="zh-CN"/>
                    </w:rPr>
                  </w:pPr>
                  <w:r>
                    <w:rPr>
                      <w:rFonts w:hint="eastAsia"/>
                      <w:lang w:eastAsia="zh-CN"/>
                    </w:rPr>
                    <w:t>位于一层，3</w:t>
                  </w:r>
                  <w:r>
                    <w:rPr>
                      <w:lang w:eastAsia="zh-CN"/>
                    </w:rPr>
                    <w:t>4.40</w:t>
                  </w:r>
                  <w:r>
                    <w:rPr>
                      <w:rFonts w:hint="eastAsia"/>
                      <w:lang w:eastAsia="zh-CN"/>
                    </w:rPr>
                    <w:t>m</w:t>
                  </w:r>
                  <w:r>
                    <w:rPr>
                      <w:rFonts w:hint="eastAsia"/>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UPS配电房</w:t>
                  </w:r>
                </w:p>
              </w:tc>
              <w:tc>
                <w:tcPr>
                  <w:tcW w:w="3202" w:type="pct"/>
                  <w:vAlign w:val="center"/>
                </w:tcPr>
                <w:p>
                  <w:pPr>
                    <w:pStyle w:val="56"/>
                    <w:rPr>
                      <w:lang w:eastAsia="zh-CN"/>
                    </w:rPr>
                  </w:pPr>
                  <w:r>
                    <w:rPr>
                      <w:rFonts w:hint="eastAsia"/>
                      <w:lang w:eastAsia="zh-CN"/>
                    </w:rPr>
                    <w:t>位于一层，2</w:t>
                  </w:r>
                  <w:r>
                    <w:rPr>
                      <w:lang w:eastAsia="zh-CN"/>
                    </w:rPr>
                    <w:t>7.06</w:t>
                  </w:r>
                  <w:r>
                    <w:rPr>
                      <w:rFonts w:hint="eastAsia"/>
                      <w:lang w:eastAsia="zh-CN"/>
                    </w:rPr>
                    <w:t>m</w:t>
                  </w:r>
                  <w:r>
                    <w:rPr>
                      <w:rFonts w:hint="eastAsia"/>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员工生活区</w:t>
                  </w:r>
                </w:p>
              </w:tc>
              <w:tc>
                <w:tcPr>
                  <w:tcW w:w="3202" w:type="pct"/>
                  <w:vAlign w:val="center"/>
                </w:tcPr>
                <w:p>
                  <w:pPr>
                    <w:pStyle w:val="56"/>
                    <w:rPr>
                      <w:lang w:eastAsia="zh-CN"/>
                    </w:rPr>
                  </w:pPr>
                  <w:r>
                    <w:rPr>
                      <w:rFonts w:hint="eastAsia"/>
                      <w:lang w:eastAsia="zh-CN"/>
                    </w:rPr>
                    <w:t>包括更衣室，卫生间，淋浴间、茶水间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办公室区</w:t>
                  </w:r>
                </w:p>
              </w:tc>
              <w:tc>
                <w:tcPr>
                  <w:tcW w:w="3202" w:type="pct"/>
                  <w:vAlign w:val="center"/>
                </w:tcPr>
                <w:p>
                  <w:pPr>
                    <w:pStyle w:val="56"/>
                  </w:pPr>
                  <w:r>
                    <w:rPr>
                      <w:rFonts w:hint="eastAsia"/>
                      <w:lang w:eastAsia="zh-CN"/>
                    </w:rPr>
                    <w:t>包括主任室、质量部、会议室等等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restart"/>
                  <w:vAlign w:val="center"/>
                </w:tcPr>
                <w:p>
                  <w:pPr>
                    <w:pStyle w:val="56"/>
                  </w:pPr>
                  <w:r>
                    <w:rPr>
                      <w:rFonts w:hint="eastAsia"/>
                      <w:lang w:eastAsia="zh-CN"/>
                    </w:rPr>
                    <w:t>环保设施</w:t>
                  </w:r>
                </w:p>
              </w:tc>
              <w:tc>
                <w:tcPr>
                  <w:tcW w:w="830" w:type="pct"/>
                  <w:vAlign w:val="center"/>
                </w:tcPr>
                <w:p>
                  <w:pPr>
                    <w:pStyle w:val="56"/>
                    <w:rPr>
                      <w:lang w:eastAsia="zh-CN"/>
                    </w:rPr>
                  </w:pPr>
                  <w:r>
                    <w:rPr>
                      <w:rFonts w:hint="eastAsia"/>
                      <w:lang w:eastAsia="zh-CN"/>
                    </w:rPr>
                    <w:t>废气</w:t>
                  </w:r>
                </w:p>
              </w:tc>
              <w:tc>
                <w:tcPr>
                  <w:tcW w:w="3202" w:type="pct"/>
                  <w:vAlign w:val="center"/>
                </w:tcPr>
                <w:p>
                  <w:pPr>
                    <w:pStyle w:val="56"/>
                    <w:rPr>
                      <w:lang w:eastAsia="zh-CN"/>
                    </w:rPr>
                  </w:pPr>
                  <w:r>
                    <w:rPr>
                      <w:rFonts w:hint="eastAsia"/>
                      <w:lang w:eastAsia="zh-CN"/>
                    </w:rPr>
                    <w:t>项目实验室的杀菌措施主要是通过生物安全柜对病菌过滤作用，消毒包括实验过程的消毒，实验过程为通过乙醇消毒，非工作时间通过实验室内的紫外线灯进行消毒。</w:t>
                  </w:r>
                </w:p>
                <w:p>
                  <w:pPr>
                    <w:pStyle w:val="56"/>
                  </w:pPr>
                  <w:r>
                    <w:rPr>
                      <w:rFonts w:hint="eastAsia"/>
                      <w:lang w:eastAsia="zh-CN"/>
                    </w:rPr>
                    <w:t>项目操作区的产生的气溶胶废气通过生物安全柜内的高效过滤器后在实验室内直接排放。PCR（基因扩增）实验室、NGS（高通量测序）实验室内的废气分别通过风机收集后</w:t>
                  </w:r>
                  <w:r>
                    <w:rPr>
                      <w:rFonts w:hint="eastAsia"/>
                      <w:lang w:val="en-US"/>
                    </w:rPr>
                    <w:t>引至楼顶</w:t>
                  </w:r>
                  <w:r>
                    <w:rPr>
                      <w:rFonts w:hint="eastAsia"/>
                      <w:lang w:eastAsia="zh-CN"/>
                    </w:rPr>
                    <w:t>经过高效过滤处理后通过2</w:t>
                  </w:r>
                  <w:r>
                    <w:rPr>
                      <w:lang w:eastAsia="zh-CN"/>
                    </w:rPr>
                    <w:t>0</w:t>
                  </w:r>
                  <w:r>
                    <w:rPr>
                      <w:rFonts w:hint="eastAsia"/>
                      <w:lang w:eastAsia="zh-CN"/>
                    </w:rPr>
                    <w:t>米烟囱排放。微生物前处理室、尿粪分析室、病理预埋室产生的废气通过风机进行收集后</w:t>
                  </w:r>
                  <w:r>
                    <w:rPr>
                      <w:rFonts w:hint="eastAsia"/>
                      <w:lang w:val="en-US"/>
                    </w:rPr>
                    <w:t>引至楼顶</w:t>
                  </w:r>
                  <w:r>
                    <w:rPr>
                      <w:rFonts w:hint="eastAsia"/>
                      <w:lang w:eastAsia="zh-CN"/>
                    </w:rPr>
                    <w:t>通过活性炭处理后通过</w:t>
                  </w:r>
                  <w:r>
                    <w:rPr>
                      <w:lang w:eastAsia="zh-CN"/>
                    </w:rPr>
                    <w:t>20</w:t>
                  </w:r>
                  <w:r>
                    <w:rPr>
                      <w:rFonts w:hint="eastAsia"/>
                      <w:lang w:eastAsia="zh-CN"/>
                    </w:rPr>
                    <w:t>米烟囱排放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废水</w:t>
                  </w:r>
                </w:p>
              </w:tc>
              <w:tc>
                <w:tcPr>
                  <w:tcW w:w="3202" w:type="pct"/>
                  <w:vAlign w:val="center"/>
                </w:tcPr>
                <w:p>
                  <w:pPr>
                    <w:pStyle w:val="56"/>
                  </w:pPr>
                  <w:r>
                    <w:rPr>
                      <w:rFonts w:hint="eastAsia"/>
                      <w:lang w:eastAsia="zh-CN"/>
                    </w:rPr>
                    <w:t>由于废水处理设施位于项目用地范围外，因此属于项目废水通过企业自建的污水处理站（</w:t>
                  </w:r>
                  <w:r>
                    <w:rPr>
                      <w:rFonts w:hint="eastAsia"/>
                    </w:rPr>
                    <w:t>一体化污水处理设备（化学混凝处理法）+臭氧消毒</w:t>
                  </w:r>
                  <w:r>
                    <w:rPr>
                      <w:rFonts w:hint="eastAsia"/>
                      <w:lang w:eastAsia="zh-CN"/>
                    </w:rPr>
                    <w:t>）处理后达标后通过园区管网排放至茂名高新技术产业开发区污水处理厂处理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噪声</w:t>
                  </w:r>
                </w:p>
              </w:tc>
              <w:tc>
                <w:tcPr>
                  <w:tcW w:w="3202" w:type="pct"/>
                  <w:vAlign w:val="center"/>
                </w:tcPr>
                <w:p>
                  <w:pPr>
                    <w:pStyle w:val="56"/>
                  </w:pPr>
                  <w:r>
                    <w:rPr>
                      <w:rFonts w:hint="eastAsia"/>
                    </w:rPr>
                    <w:t>阻尼、减震、吸声、隔音和建筑布局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pPr>
                    <w:pStyle w:val="56"/>
                  </w:pPr>
                </w:p>
              </w:tc>
              <w:tc>
                <w:tcPr>
                  <w:tcW w:w="830" w:type="pct"/>
                  <w:vAlign w:val="center"/>
                </w:tcPr>
                <w:p>
                  <w:pPr>
                    <w:pStyle w:val="56"/>
                    <w:rPr>
                      <w:lang w:eastAsia="zh-CN"/>
                    </w:rPr>
                  </w:pPr>
                  <w:r>
                    <w:rPr>
                      <w:rFonts w:hint="eastAsia"/>
                      <w:lang w:eastAsia="zh-CN"/>
                    </w:rPr>
                    <w:t>固废</w:t>
                  </w:r>
                </w:p>
              </w:tc>
              <w:tc>
                <w:tcPr>
                  <w:tcW w:w="3202" w:type="pct"/>
                  <w:vAlign w:val="center"/>
                </w:tcPr>
                <w:p>
                  <w:pPr>
                    <w:pStyle w:val="56"/>
                    <w:rPr>
                      <w:lang w:eastAsia="zh-CN"/>
                    </w:rPr>
                  </w:pPr>
                  <w:r>
                    <w:rPr>
                      <w:rFonts w:hint="eastAsia"/>
                    </w:rPr>
                    <w:t>生活垃圾收集后交由环卫部门清运处理；未沾染相关试剂的废包装材料收集后交由资源回收单位处理；废渗透膜由纯水系统安装公司负责上门更换并回收；废弃一次性实验用品、废试剂盒、废样本及检测废液、废弃防护服、废过滤器、废试剂瓶</w:t>
                  </w:r>
                  <w:r>
                    <w:rPr>
                      <w:rFonts w:hint="eastAsia"/>
                      <w:lang w:eastAsia="zh-CN"/>
                    </w:rPr>
                    <w:t>、生化及免疫实验加样针清洗废液</w:t>
                  </w:r>
                  <w:r>
                    <w:rPr>
                      <w:rFonts w:hint="eastAsia"/>
                      <w:lang w:val="en-US" w:eastAsia="zh-CN"/>
                    </w:rPr>
                    <w:t>、废紫外线灯管</w:t>
                  </w:r>
                  <w:r>
                    <w:rPr>
                      <w:rFonts w:hint="eastAsia"/>
                    </w:rPr>
                    <w:t>定期交有资质单位处理</w:t>
                  </w:r>
                  <w:r>
                    <w:rPr>
                      <w:rFonts w:hint="eastAsia"/>
                      <w:lang w:eastAsia="zh-CN"/>
                    </w:rPr>
                    <w:t>；项目污泥经脱水后通过有资质企业清掏回收处置</w:t>
                  </w:r>
                </w:p>
              </w:tc>
            </w:tr>
          </w:tbl>
          <w:p>
            <w:pPr>
              <w:pStyle w:val="56"/>
            </w:pPr>
          </w:p>
          <w:p>
            <w:pPr>
              <w:pStyle w:val="4"/>
              <w:rPr>
                <w:lang w:eastAsia="zh-CN"/>
              </w:rPr>
            </w:pPr>
            <w:bookmarkStart w:id="48" w:name="_Toc120889795"/>
            <w:bookmarkStart w:id="49" w:name="_Toc121147724"/>
            <w:bookmarkStart w:id="50" w:name="_Toc122338492"/>
            <w:r>
              <w:rPr>
                <w:rFonts w:hint="eastAsia"/>
                <w:lang w:eastAsia="zh-CN"/>
              </w:rPr>
              <w:t>项目产品方案</w:t>
            </w:r>
            <w:bookmarkEnd w:id="48"/>
            <w:bookmarkEnd w:id="49"/>
            <w:bookmarkEnd w:id="50"/>
          </w:p>
          <w:p>
            <w:pPr>
              <w:ind w:firstLine="480"/>
              <w:rPr>
                <w:lang w:val="zh-CN"/>
              </w:rPr>
            </w:pPr>
            <w:r>
              <w:rPr>
                <w:rFonts w:hint="eastAsia"/>
                <w:lang w:val="zh-CN"/>
              </w:rPr>
              <w:t>本项目检测内容分为</w:t>
            </w:r>
            <w:r>
              <w:rPr>
                <w:lang w:val="zh-CN"/>
              </w:rPr>
              <w:t>6</w:t>
            </w:r>
            <w:r>
              <w:rPr>
                <w:rFonts w:hint="eastAsia"/>
                <w:lang w:val="zh-CN"/>
              </w:rPr>
              <w:t>大类，主要分为</w:t>
            </w:r>
            <w:r>
              <w:rPr>
                <w:rFonts w:hint="eastAsia"/>
              </w:rPr>
              <w:t>临床血液与体液检验、临床化学检验、临床免疫检验、临床微生物检验、临床细胞分子遗传学、新冠核酸检测。</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项目主要检验项目及检验量</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899"/>
              <w:gridCol w:w="1721"/>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311" w:type="pct"/>
                  <w:gridSpan w:val="2"/>
                  <w:vAlign w:val="center"/>
                </w:tcPr>
                <w:p>
                  <w:pPr>
                    <w:pStyle w:val="56"/>
                  </w:pPr>
                  <w:r>
                    <w:rPr>
                      <w:rFonts w:hint="eastAsia"/>
                    </w:rPr>
                    <w:t>检测类型</w:t>
                  </w:r>
                </w:p>
              </w:tc>
              <w:tc>
                <w:tcPr>
                  <w:tcW w:w="1238" w:type="pct"/>
                  <w:vAlign w:val="center"/>
                </w:tcPr>
                <w:p>
                  <w:pPr>
                    <w:pStyle w:val="56"/>
                  </w:pPr>
                  <w:r>
                    <w:rPr>
                      <w:rFonts w:hint="eastAsia"/>
                    </w:rPr>
                    <w:t>检测规模</w:t>
                  </w:r>
                </w:p>
              </w:tc>
              <w:tc>
                <w:tcPr>
                  <w:tcW w:w="1449" w:type="pct"/>
                  <w:vAlign w:val="center"/>
                </w:tcPr>
                <w:p>
                  <w:pPr>
                    <w:pStyle w:val="56"/>
                    <w:rPr>
                      <w:kern w:val="0"/>
                      <w:szCs w:val="21"/>
                      <w:lang w:val="en-US" w:eastAsia="zh-CN"/>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6" w:type="pct"/>
                  <w:vAlign w:val="center"/>
                </w:tcPr>
                <w:p>
                  <w:pPr>
                    <w:pStyle w:val="56"/>
                  </w:pPr>
                  <w:r>
                    <w:rPr>
                      <w:rFonts w:hint="eastAsia"/>
                    </w:rPr>
                    <w:t>临床血液和体液检验</w:t>
                  </w:r>
                </w:p>
              </w:tc>
              <w:tc>
                <w:tcPr>
                  <w:tcW w:w="1364" w:type="pct"/>
                  <w:vAlign w:val="center"/>
                </w:tcPr>
                <w:p>
                  <w:pPr>
                    <w:pStyle w:val="56"/>
                  </w:pPr>
                  <w:r>
                    <w:rPr>
                      <w:rFonts w:hint="eastAsia"/>
                    </w:rPr>
                    <w:t>血常规检测</w:t>
                  </w:r>
                </w:p>
              </w:tc>
              <w:tc>
                <w:tcPr>
                  <w:tcW w:w="1238" w:type="pct"/>
                  <w:vAlign w:val="center"/>
                </w:tcPr>
                <w:p>
                  <w:pPr>
                    <w:pStyle w:val="56"/>
                  </w:pPr>
                  <w:r>
                    <w:t>2</w:t>
                  </w:r>
                  <w:r>
                    <w:rPr>
                      <w:rFonts w:hint="eastAsia"/>
                    </w:rPr>
                    <w:t>0000例/年</w:t>
                  </w:r>
                </w:p>
              </w:tc>
              <w:tc>
                <w:tcPr>
                  <w:tcW w:w="1449" w:type="pct"/>
                  <w:vAlign w:val="center"/>
                </w:tcPr>
                <w:p>
                  <w:pPr>
                    <w:pStyle w:val="56"/>
                  </w:pPr>
                  <w:r>
                    <w:rPr>
                      <w:rFonts w:hint="eastAsia"/>
                    </w:rPr>
                    <w:t>出具检测报告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6" w:type="pct"/>
                  <w:vMerge w:val="restart"/>
                  <w:vAlign w:val="center"/>
                </w:tcPr>
                <w:p>
                  <w:pPr>
                    <w:pStyle w:val="56"/>
                  </w:pPr>
                  <w:r>
                    <w:rPr>
                      <w:rFonts w:hint="eastAsia"/>
                    </w:rPr>
                    <w:t>分子及细胞遗传检验</w:t>
                  </w:r>
                </w:p>
              </w:tc>
              <w:tc>
                <w:tcPr>
                  <w:tcW w:w="1364" w:type="pct"/>
                  <w:vAlign w:val="center"/>
                </w:tcPr>
                <w:p>
                  <w:pPr>
                    <w:pStyle w:val="56"/>
                  </w:pPr>
                  <w:r>
                    <w:rPr>
                      <w:rFonts w:hint="eastAsia"/>
                    </w:rPr>
                    <w:t>染色体核型分析</w:t>
                  </w:r>
                </w:p>
              </w:tc>
              <w:tc>
                <w:tcPr>
                  <w:tcW w:w="1238" w:type="pct"/>
                  <w:vAlign w:val="center"/>
                </w:tcPr>
                <w:p>
                  <w:pPr>
                    <w:pStyle w:val="56"/>
                  </w:pPr>
                  <w:r>
                    <w:t>4</w:t>
                  </w:r>
                  <w:r>
                    <w:rPr>
                      <w:rFonts w:hint="eastAsia"/>
                    </w:rPr>
                    <w:t>000例/年</w:t>
                  </w:r>
                </w:p>
              </w:tc>
              <w:tc>
                <w:tcPr>
                  <w:tcW w:w="1449" w:type="pct"/>
                  <w:vAlign w:val="center"/>
                </w:tcPr>
                <w:p>
                  <w:pPr>
                    <w:pStyle w:val="56"/>
                  </w:pPr>
                  <w:r>
                    <w:rPr>
                      <w:rFonts w:hint="eastAsia"/>
                    </w:rPr>
                    <w:t>出具检测报告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6" w:type="pct"/>
                  <w:vMerge w:val="continue"/>
                  <w:vAlign w:val="center"/>
                </w:tcPr>
                <w:p>
                  <w:pPr>
                    <w:pStyle w:val="56"/>
                  </w:pPr>
                </w:p>
              </w:tc>
              <w:tc>
                <w:tcPr>
                  <w:tcW w:w="1364" w:type="pct"/>
                  <w:vAlign w:val="center"/>
                </w:tcPr>
                <w:p>
                  <w:pPr>
                    <w:pStyle w:val="56"/>
                  </w:pPr>
                  <w:r>
                    <w:rPr>
                      <w:rFonts w:hint="eastAsia"/>
                    </w:rPr>
                    <w:t>新冠核酸检测</w:t>
                  </w:r>
                </w:p>
              </w:tc>
              <w:tc>
                <w:tcPr>
                  <w:tcW w:w="1238" w:type="pct"/>
                  <w:vAlign w:val="center"/>
                </w:tcPr>
                <w:p>
                  <w:pPr>
                    <w:pStyle w:val="56"/>
                  </w:pPr>
                  <w:r>
                    <w:rPr>
                      <w:rFonts w:hint="eastAsia"/>
                    </w:rPr>
                    <w:t>100万例/年</w:t>
                  </w:r>
                </w:p>
              </w:tc>
              <w:tc>
                <w:tcPr>
                  <w:tcW w:w="1449" w:type="pct"/>
                  <w:vAlign w:val="center"/>
                </w:tcPr>
                <w:p>
                  <w:pPr>
                    <w:pStyle w:val="56"/>
                  </w:pPr>
                  <w:r>
                    <w:rPr>
                      <w:rFonts w:hint="eastAsia"/>
                    </w:rPr>
                    <w:t>出具检测报告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6" w:type="pct"/>
                  <w:vMerge w:val="continue"/>
                  <w:vAlign w:val="center"/>
                </w:tcPr>
                <w:p>
                  <w:pPr>
                    <w:pStyle w:val="56"/>
                  </w:pPr>
                </w:p>
              </w:tc>
              <w:tc>
                <w:tcPr>
                  <w:tcW w:w="1364" w:type="pct"/>
                  <w:vAlign w:val="center"/>
                </w:tcPr>
                <w:p>
                  <w:pPr>
                    <w:pStyle w:val="56"/>
                  </w:pPr>
                  <w:r>
                    <w:rPr>
                      <w:rFonts w:hint="eastAsia"/>
                    </w:rPr>
                    <w:t>地贫基因检测</w:t>
                  </w:r>
                </w:p>
              </w:tc>
              <w:tc>
                <w:tcPr>
                  <w:tcW w:w="1238" w:type="pct"/>
                  <w:vAlign w:val="center"/>
                </w:tcPr>
                <w:p>
                  <w:pPr>
                    <w:pStyle w:val="56"/>
                  </w:pPr>
                  <w:r>
                    <w:t>2</w:t>
                  </w:r>
                  <w:r>
                    <w:rPr>
                      <w:rFonts w:hint="eastAsia"/>
                    </w:rPr>
                    <w:t>000例/年</w:t>
                  </w:r>
                </w:p>
              </w:tc>
              <w:tc>
                <w:tcPr>
                  <w:tcW w:w="1449" w:type="pct"/>
                  <w:vAlign w:val="center"/>
                </w:tcPr>
                <w:p>
                  <w:pPr>
                    <w:pStyle w:val="56"/>
                    <w:rPr>
                      <w:kern w:val="0"/>
                      <w:szCs w:val="21"/>
                    </w:rPr>
                  </w:pPr>
                  <w:r>
                    <w:rPr>
                      <w:rFonts w:hint="eastAsia"/>
                      <w:kern w:val="0"/>
                      <w:szCs w:val="21"/>
                    </w:rPr>
                    <w:t>出具检测报告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6" w:type="pct"/>
                  <w:vMerge w:val="continue"/>
                  <w:vAlign w:val="center"/>
                </w:tcPr>
                <w:p>
                  <w:pPr>
                    <w:pStyle w:val="56"/>
                  </w:pPr>
                </w:p>
              </w:tc>
              <w:tc>
                <w:tcPr>
                  <w:tcW w:w="1364" w:type="pct"/>
                  <w:vAlign w:val="center"/>
                </w:tcPr>
                <w:p>
                  <w:pPr>
                    <w:pStyle w:val="56"/>
                  </w:pPr>
                  <w:r>
                    <w:rPr>
                      <w:rFonts w:hint="eastAsia"/>
                    </w:rPr>
                    <w:t>HPV检测</w:t>
                  </w:r>
                </w:p>
              </w:tc>
              <w:tc>
                <w:tcPr>
                  <w:tcW w:w="1238" w:type="pct"/>
                  <w:vAlign w:val="center"/>
                </w:tcPr>
                <w:p>
                  <w:pPr>
                    <w:pStyle w:val="56"/>
                  </w:pPr>
                  <w:r>
                    <w:t>4</w:t>
                  </w:r>
                  <w:r>
                    <w:rPr>
                      <w:rFonts w:hint="eastAsia"/>
                    </w:rPr>
                    <w:t>000例/年</w:t>
                  </w:r>
                </w:p>
              </w:tc>
              <w:tc>
                <w:tcPr>
                  <w:tcW w:w="1449" w:type="pct"/>
                  <w:vAlign w:val="center"/>
                </w:tcPr>
                <w:p>
                  <w:pPr>
                    <w:pStyle w:val="56"/>
                    <w:rPr>
                      <w:kern w:val="0"/>
                      <w:szCs w:val="21"/>
                    </w:rPr>
                  </w:pPr>
                  <w:r>
                    <w:rPr>
                      <w:rFonts w:hint="eastAsia"/>
                      <w:kern w:val="0"/>
                      <w:szCs w:val="21"/>
                    </w:rPr>
                    <w:t>出具检测报告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6" w:type="pct"/>
                  <w:vMerge w:val="continue"/>
                  <w:vAlign w:val="center"/>
                </w:tcPr>
                <w:p>
                  <w:pPr>
                    <w:pStyle w:val="56"/>
                  </w:pPr>
                </w:p>
              </w:tc>
              <w:tc>
                <w:tcPr>
                  <w:tcW w:w="1364" w:type="pct"/>
                  <w:vAlign w:val="center"/>
                </w:tcPr>
                <w:p>
                  <w:pPr>
                    <w:pStyle w:val="56"/>
                  </w:pPr>
                  <w:r>
                    <w:rPr>
                      <w:rFonts w:hint="eastAsia"/>
                    </w:rPr>
                    <w:t>肿瘤基因变异检测</w:t>
                  </w:r>
                </w:p>
              </w:tc>
              <w:tc>
                <w:tcPr>
                  <w:tcW w:w="1238" w:type="pct"/>
                  <w:vAlign w:val="center"/>
                </w:tcPr>
                <w:p>
                  <w:pPr>
                    <w:pStyle w:val="56"/>
                  </w:pPr>
                  <w:r>
                    <w:t>10</w:t>
                  </w:r>
                  <w:r>
                    <w:rPr>
                      <w:rFonts w:hint="eastAsia"/>
                    </w:rPr>
                    <w:t>000例/年</w:t>
                  </w:r>
                </w:p>
              </w:tc>
              <w:tc>
                <w:tcPr>
                  <w:tcW w:w="1449" w:type="pct"/>
                  <w:vAlign w:val="center"/>
                </w:tcPr>
                <w:p>
                  <w:pPr>
                    <w:pStyle w:val="56"/>
                    <w:rPr>
                      <w:kern w:val="0"/>
                      <w:szCs w:val="21"/>
                    </w:rPr>
                  </w:pPr>
                  <w:r>
                    <w:rPr>
                      <w:rFonts w:hint="eastAsia"/>
                    </w:rPr>
                    <w:t>出具检测报告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1" w:type="pct"/>
                  <w:gridSpan w:val="2"/>
                  <w:vAlign w:val="center"/>
                </w:tcPr>
                <w:p>
                  <w:pPr>
                    <w:pStyle w:val="56"/>
                  </w:pPr>
                  <w:r>
                    <w:rPr>
                      <w:rFonts w:hint="eastAsia"/>
                    </w:rPr>
                    <w:t>临床生化检测</w:t>
                  </w:r>
                </w:p>
              </w:tc>
              <w:tc>
                <w:tcPr>
                  <w:tcW w:w="1238" w:type="pct"/>
                  <w:vAlign w:val="center"/>
                </w:tcPr>
                <w:p>
                  <w:pPr>
                    <w:pStyle w:val="56"/>
                  </w:pPr>
                  <w:r>
                    <w:t>2</w:t>
                  </w:r>
                  <w:r>
                    <w:rPr>
                      <w:rFonts w:hint="eastAsia"/>
                    </w:rPr>
                    <w:t>0000例/年</w:t>
                  </w:r>
                </w:p>
              </w:tc>
              <w:tc>
                <w:tcPr>
                  <w:tcW w:w="1449" w:type="pct"/>
                  <w:vAlign w:val="center"/>
                </w:tcPr>
                <w:p>
                  <w:pPr>
                    <w:pStyle w:val="56"/>
                  </w:pPr>
                  <w:r>
                    <w:rPr>
                      <w:rFonts w:hint="eastAsia"/>
                    </w:rPr>
                    <w:t>出具检测报告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1" w:type="pct"/>
                  <w:gridSpan w:val="2"/>
                  <w:vAlign w:val="center"/>
                </w:tcPr>
                <w:p>
                  <w:pPr>
                    <w:pStyle w:val="56"/>
                  </w:pPr>
                  <w:r>
                    <w:rPr>
                      <w:rFonts w:hint="eastAsia"/>
                    </w:rPr>
                    <w:t>临床免疫检测</w:t>
                  </w:r>
                </w:p>
              </w:tc>
              <w:tc>
                <w:tcPr>
                  <w:tcW w:w="1238" w:type="pct"/>
                  <w:vAlign w:val="center"/>
                </w:tcPr>
                <w:p>
                  <w:pPr>
                    <w:pStyle w:val="56"/>
                  </w:pPr>
                  <w:r>
                    <w:t>20</w:t>
                  </w:r>
                  <w:r>
                    <w:rPr>
                      <w:rFonts w:hint="eastAsia"/>
                    </w:rPr>
                    <w:t>000例/年</w:t>
                  </w:r>
                </w:p>
              </w:tc>
              <w:tc>
                <w:tcPr>
                  <w:tcW w:w="1449" w:type="pct"/>
                  <w:vAlign w:val="center"/>
                </w:tcPr>
                <w:p>
                  <w:pPr>
                    <w:pStyle w:val="56"/>
                  </w:pPr>
                  <w:r>
                    <w:rPr>
                      <w:rFonts w:hint="eastAsia"/>
                    </w:rPr>
                    <w:t>出具检测报告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1" w:type="pct"/>
                  <w:gridSpan w:val="2"/>
                  <w:vAlign w:val="center"/>
                </w:tcPr>
                <w:p>
                  <w:pPr>
                    <w:pStyle w:val="56"/>
                  </w:pPr>
                  <w:r>
                    <w:rPr>
                      <w:rFonts w:hint="eastAsia"/>
                      <w:lang w:eastAsia="zh-CN"/>
                    </w:rPr>
                    <w:t>临床</w:t>
                  </w:r>
                  <w:r>
                    <w:rPr>
                      <w:rFonts w:hint="eastAsia"/>
                    </w:rPr>
                    <w:t>微生物检验</w:t>
                  </w:r>
                </w:p>
              </w:tc>
              <w:tc>
                <w:tcPr>
                  <w:tcW w:w="1238" w:type="pct"/>
                  <w:vAlign w:val="center"/>
                </w:tcPr>
                <w:p>
                  <w:pPr>
                    <w:pStyle w:val="56"/>
                  </w:pPr>
                  <w:r>
                    <w:rPr>
                      <w:rFonts w:hint="eastAsia"/>
                    </w:rPr>
                    <w:t>5000人次</w:t>
                  </w:r>
                </w:p>
              </w:tc>
              <w:tc>
                <w:tcPr>
                  <w:tcW w:w="1449" w:type="pct"/>
                  <w:vAlign w:val="center"/>
                </w:tcPr>
                <w:p>
                  <w:pPr>
                    <w:pStyle w:val="56"/>
                    <w:rPr>
                      <w:b/>
                    </w:rPr>
                  </w:pPr>
                  <w:r>
                    <w:rPr>
                      <w:rFonts w:hint="eastAsia"/>
                    </w:rPr>
                    <w:t>出具检测报告</w:t>
                  </w:r>
                </w:p>
              </w:tc>
            </w:tr>
          </w:tbl>
          <w:p>
            <w:pPr>
              <w:pStyle w:val="56"/>
            </w:pPr>
          </w:p>
          <w:p>
            <w:pPr>
              <w:ind w:firstLine="480"/>
              <w:rPr>
                <w:lang w:val="zh-CN"/>
              </w:rPr>
            </w:pPr>
            <w:r>
              <w:rPr>
                <w:rFonts w:hint="eastAsia"/>
                <w:lang w:val="zh-CN"/>
              </w:rPr>
              <w:t>本项目待检样品来源于合作医院，由专业医护人员通过专业规范的临床操作，从患者体内获取，获取的标本经灭活处理后装入专业的采样管和特殊的标本采集管，装有标本的采血管和特殊的标本采集管放入密封罐，密封罐再放入生物安全标本运输箱，严格按照《可感染人类的高致病性病原微生物菌（毒）种或样本运输管理规定》（（原卫生部令第45号））、《新型冠状病毒实验室生物安全指南（第二版）》进行样品的采集和运输。</w:t>
            </w:r>
          </w:p>
          <w:p>
            <w:pPr>
              <w:pStyle w:val="4"/>
              <w:rPr>
                <w:lang w:eastAsia="zh-CN"/>
              </w:rPr>
            </w:pPr>
            <w:bookmarkStart w:id="51" w:name="_Toc120889796"/>
            <w:bookmarkStart w:id="52" w:name="_Toc121147725"/>
            <w:bookmarkStart w:id="53" w:name="_Toc122338493"/>
            <w:r>
              <w:rPr>
                <w:rFonts w:hint="eastAsia"/>
                <w:lang w:eastAsia="zh-CN"/>
              </w:rPr>
              <w:t>原辅材料及能源消耗</w:t>
            </w:r>
            <w:bookmarkEnd w:id="51"/>
            <w:bookmarkEnd w:id="52"/>
            <w:bookmarkEnd w:id="53"/>
          </w:p>
          <w:p>
            <w:pPr>
              <w:pStyle w:val="55"/>
            </w:pPr>
            <w:bookmarkStart w:id="54" w:name="_Hlk119479914"/>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项目原辅材料使用一览表</w:t>
            </w:r>
          </w:p>
          <w:tbl>
            <w:tblPr>
              <w:tblStyle w:val="36"/>
              <w:tblW w:w="4987"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302"/>
              <w:gridCol w:w="687"/>
              <w:gridCol w:w="725"/>
              <w:gridCol w:w="853"/>
              <w:gridCol w:w="1265"/>
              <w:gridCol w:w="1040"/>
              <w:gridCol w:w="1150"/>
              <w:gridCol w:w="913"/>
            </w:tblGrid>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59" w:hRule="atLeast"/>
                <w:jc w:val="center"/>
              </w:trPr>
              <w:tc>
                <w:tcPr>
                  <w:tcW w:w="218" w:type="pct"/>
                  <w:noWrap/>
                  <w:tcMar>
                    <w:top w:w="15" w:type="dxa"/>
                    <w:left w:w="57" w:type="dxa"/>
                    <w:bottom w:w="15" w:type="dxa"/>
                    <w:right w:w="57" w:type="dxa"/>
                  </w:tcMar>
                  <w:vAlign w:val="center"/>
                </w:tcPr>
                <w:p>
                  <w:pPr>
                    <w:pStyle w:val="66"/>
                  </w:pPr>
                  <w:r>
                    <w:t>序号</w:t>
                  </w:r>
                </w:p>
              </w:tc>
              <w:tc>
                <w:tcPr>
                  <w:tcW w:w="495" w:type="pct"/>
                  <w:noWrap/>
                  <w:tcMar>
                    <w:top w:w="15" w:type="dxa"/>
                    <w:left w:w="57" w:type="dxa"/>
                    <w:bottom w:w="15" w:type="dxa"/>
                    <w:right w:w="57" w:type="dxa"/>
                  </w:tcMar>
                  <w:vAlign w:val="center"/>
                </w:tcPr>
                <w:p>
                  <w:pPr>
                    <w:pStyle w:val="66"/>
                  </w:pPr>
                  <w:r>
                    <w:rPr>
                      <w:rFonts w:hint="eastAsia"/>
                    </w:rPr>
                    <w:t>专业组</w:t>
                  </w:r>
                </w:p>
              </w:tc>
              <w:tc>
                <w:tcPr>
                  <w:tcW w:w="1138" w:type="pct"/>
                  <w:gridSpan w:val="2"/>
                  <w:noWrap/>
                  <w:tcMar>
                    <w:top w:w="15" w:type="dxa"/>
                    <w:left w:w="57" w:type="dxa"/>
                    <w:bottom w:w="15" w:type="dxa"/>
                    <w:right w:w="57" w:type="dxa"/>
                  </w:tcMar>
                  <w:vAlign w:val="center"/>
                </w:tcPr>
                <w:p>
                  <w:pPr>
                    <w:pStyle w:val="66"/>
                  </w:pPr>
                  <w:r>
                    <w:rPr>
                      <w:rFonts w:hint="eastAsia"/>
                    </w:rPr>
                    <w:t>项目</w:t>
                  </w:r>
                </w:p>
              </w:tc>
              <w:tc>
                <w:tcPr>
                  <w:tcW w:w="912" w:type="pct"/>
                  <w:noWrap/>
                  <w:tcMar>
                    <w:top w:w="15" w:type="dxa"/>
                    <w:left w:w="57" w:type="dxa"/>
                    <w:bottom w:w="15" w:type="dxa"/>
                    <w:right w:w="57" w:type="dxa"/>
                  </w:tcMar>
                  <w:vAlign w:val="center"/>
                </w:tcPr>
                <w:p>
                  <w:pPr>
                    <w:pStyle w:val="66"/>
                  </w:pPr>
                  <w:r>
                    <w:rPr>
                      <w:rFonts w:hint="eastAsia"/>
                    </w:rPr>
                    <w:t>名称</w:t>
                  </w:r>
                </w:p>
              </w:tc>
              <w:tc>
                <w:tcPr>
                  <w:tcW w:w="750" w:type="pct"/>
                  <w:noWrap/>
                  <w:tcMar>
                    <w:top w:w="15" w:type="dxa"/>
                    <w:left w:w="57" w:type="dxa"/>
                    <w:bottom w:w="15" w:type="dxa"/>
                    <w:right w:w="57" w:type="dxa"/>
                  </w:tcMar>
                  <w:vAlign w:val="center"/>
                </w:tcPr>
                <w:p>
                  <w:pPr>
                    <w:pStyle w:val="66"/>
                  </w:pPr>
                  <w:r>
                    <w:rPr>
                      <w:rFonts w:hint="eastAsia"/>
                    </w:rPr>
                    <w:t>主要成分</w:t>
                  </w:r>
                </w:p>
              </w:tc>
              <w:tc>
                <w:tcPr>
                  <w:tcW w:w="829" w:type="pct"/>
                  <w:noWrap/>
                  <w:tcMar>
                    <w:top w:w="15" w:type="dxa"/>
                    <w:left w:w="57" w:type="dxa"/>
                    <w:bottom w:w="15" w:type="dxa"/>
                    <w:right w:w="57" w:type="dxa"/>
                  </w:tcMar>
                  <w:vAlign w:val="center"/>
                </w:tcPr>
                <w:p>
                  <w:pPr>
                    <w:pStyle w:val="66"/>
                  </w:pPr>
                  <w:r>
                    <w:rPr>
                      <w:rFonts w:hint="eastAsia"/>
                    </w:rPr>
                    <w:t>规格/包装</w:t>
                  </w:r>
                </w:p>
              </w:tc>
              <w:tc>
                <w:tcPr>
                  <w:tcW w:w="658" w:type="pct"/>
                  <w:noWrap/>
                  <w:tcMar>
                    <w:top w:w="15" w:type="dxa"/>
                    <w:left w:w="57" w:type="dxa"/>
                    <w:bottom w:w="15" w:type="dxa"/>
                    <w:right w:w="57" w:type="dxa"/>
                  </w:tcMar>
                  <w:vAlign w:val="center"/>
                </w:tcPr>
                <w:p>
                  <w:pPr>
                    <w:pStyle w:val="66"/>
                  </w:pPr>
                  <w:r>
                    <w:rPr>
                      <w:rFonts w:hint="eastAsia"/>
                    </w:rPr>
                    <w:t>年用量</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63" w:hRule="atLeast"/>
                <w:jc w:val="center"/>
              </w:trPr>
              <w:tc>
                <w:tcPr>
                  <w:tcW w:w="218" w:type="pct"/>
                  <w:vMerge w:val="restart"/>
                  <w:noWrap/>
                  <w:tcMar>
                    <w:top w:w="15" w:type="dxa"/>
                    <w:left w:w="57" w:type="dxa"/>
                    <w:bottom w:w="15" w:type="dxa"/>
                    <w:right w:w="57" w:type="dxa"/>
                  </w:tcMar>
                  <w:vAlign w:val="center"/>
                </w:tcPr>
                <w:p>
                  <w:pPr>
                    <w:pStyle w:val="66"/>
                  </w:pPr>
                  <w:r>
                    <w:rPr>
                      <w:rFonts w:hint="eastAsia"/>
                    </w:rPr>
                    <w:t>1</w:t>
                  </w:r>
                </w:p>
              </w:tc>
              <w:tc>
                <w:tcPr>
                  <w:tcW w:w="495" w:type="pct"/>
                  <w:vMerge w:val="restart"/>
                  <w:noWrap/>
                  <w:tcMar>
                    <w:top w:w="15" w:type="dxa"/>
                    <w:left w:w="57" w:type="dxa"/>
                    <w:bottom w:w="15" w:type="dxa"/>
                    <w:right w:w="57" w:type="dxa"/>
                  </w:tcMar>
                  <w:vAlign w:val="center"/>
                </w:tcPr>
                <w:p>
                  <w:pPr>
                    <w:pStyle w:val="66"/>
                    <w:rPr>
                      <w:kern w:val="0"/>
                      <w:szCs w:val="21"/>
                      <w:lang w:val="en-US" w:eastAsia="zh-CN"/>
                    </w:rPr>
                  </w:pPr>
                  <w:r>
                    <w:t>临床血液和体液</w:t>
                  </w:r>
                </w:p>
              </w:tc>
              <w:tc>
                <w:tcPr>
                  <w:tcW w:w="1138" w:type="pct"/>
                  <w:gridSpan w:val="2"/>
                  <w:vMerge w:val="restart"/>
                  <w:noWrap/>
                  <w:tcMar>
                    <w:top w:w="15" w:type="dxa"/>
                    <w:left w:w="57" w:type="dxa"/>
                    <w:bottom w:w="15" w:type="dxa"/>
                    <w:right w:w="57" w:type="dxa"/>
                  </w:tcMar>
                  <w:vAlign w:val="center"/>
                </w:tcPr>
                <w:p>
                  <w:pPr>
                    <w:pStyle w:val="66"/>
                  </w:pPr>
                  <w:r>
                    <w:t>血常规检测</w:t>
                  </w:r>
                </w:p>
              </w:tc>
              <w:tc>
                <w:tcPr>
                  <w:tcW w:w="912" w:type="pct"/>
                  <w:tcBorders>
                    <w:bottom w:val="single" w:color="auto" w:sz="4" w:space="0"/>
                  </w:tcBorders>
                  <w:noWrap/>
                  <w:tcMar>
                    <w:top w:w="15" w:type="dxa"/>
                    <w:left w:w="57" w:type="dxa"/>
                    <w:bottom w:w="15" w:type="dxa"/>
                    <w:right w:w="57" w:type="dxa"/>
                  </w:tcMar>
                  <w:vAlign w:val="center"/>
                </w:tcPr>
                <w:p>
                  <w:pPr>
                    <w:pStyle w:val="66"/>
                  </w:pPr>
                  <w:r>
                    <w:rPr>
                      <w:rFonts w:hint="eastAsia"/>
                    </w:rPr>
                    <w:t>血常规检测试剂盒</w:t>
                  </w:r>
                </w:p>
              </w:tc>
              <w:tc>
                <w:tcPr>
                  <w:tcW w:w="750" w:type="pct"/>
                  <w:tcBorders>
                    <w:bottom w:val="single" w:color="auto" w:sz="4" w:space="0"/>
                  </w:tcBorders>
                  <w:noWrap/>
                  <w:tcMar>
                    <w:top w:w="15" w:type="dxa"/>
                    <w:left w:w="57" w:type="dxa"/>
                    <w:bottom w:w="15" w:type="dxa"/>
                    <w:right w:w="57" w:type="dxa"/>
                  </w:tcMar>
                  <w:vAlign w:val="center"/>
                </w:tcPr>
                <w:p>
                  <w:pPr>
                    <w:pStyle w:val="66"/>
                  </w:pPr>
                  <w:r>
                    <w:rPr>
                      <w:rFonts w:hint="eastAsia"/>
                    </w:rPr>
                    <w:t>盐溶液</w:t>
                  </w:r>
                </w:p>
              </w:tc>
              <w:tc>
                <w:tcPr>
                  <w:tcW w:w="829" w:type="pct"/>
                  <w:tcBorders>
                    <w:bottom w:val="single" w:color="auto" w:sz="4" w:space="0"/>
                  </w:tcBorders>
                  <w:noWrap/>
                  <w:tcMar>
                    <w:top w:w="15" w:type="dxa"/>
                    <w:left w:w="57" w:type="dxa"/>
                    <w:bottom w:w="15" w:type="dxa"/>
                    <w:right w:w="57" w:type="dxa"/>
                  </w:tcMar>
                  <w:vAlign w:val="center"/>
                </w:tcPr>
                <w:p>
                  <w:pPr>
                    <w:pStyle w:val="66"/>
                  </w:pPr>
                  <w:r>
                    <w:rPr>
                      <w:rFonts w:hint="eastAsia"/>
                    </w:rPr>
                    <w:t>100测试/盒</w:t>
                  </w:r>
                </w:p>
              </w:tc>
              <w:tc>
                <w:tcPr>
                  <w:tcW w:w="658" w:type="pct"/>
                  <w:tcBorders>
                    <w:bottom w:val="single" w:color="auto" w:sz="4" w:space="0"/>
                  </w:tcBorders>
                  <w:noWrap/>
                  <w:tcMar>
                    <w:top w:w="15" w:type="dxa"/>
                    <w:left w:w="57" w:type="dxa"/>
                    <w:bottom w:w="15" w:type="dxa"/>
                    <w:right w:w="57" w:type="dxa"/>
                  </w:tcMar>
                  <w:vAlign w:val="center"/>
                </w:tcPr>
                <w:p>
                  <w:pPr>
                    <w:pStyle w:val="66"/>
                  </w:pPr>
                  <w:r>
                    <w:rPr>
                      <w:lang w:val="en-US" w:eastAsia="zh-CN"/>
                    </w:rPr>
                    <w:t>2</w:t>
                  </w:r>
                  <w:r>
                    <w:rPr>
                      <w:rFonts w:hint="eastAsia"/>
                      <w:lang w:val="en-US" w:eastAsia="zh-CN"/>
                    </w:rPr>
                    <w:t>00</w:t>
                  </w:r>
                  <w:r>
                    <w:rPr>
                      <w:rFonts w:hint="eastAsia"/>
                    </w:rPr>
                    <w:t>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4" w:hRule="atLeast"/>
                <w:jc w:val="center"/>
              </w:trPr>
              <w:tc>
                <w:tcPr>
                  <w:tcW w:w="218" w:type="pct"/>
                  <w:vMerge w:val="continue"/>
                  <w:tcBorders>
                    <w:bottom w:val="single" w:color="auto" w:sz="4" w:space="0"/>
                  </w:tcBorders>
                  <w:noWrap/>
                  <w:tcMar>
                    <w:top w:w="15" w:type="dxa"/>
                    <w:left w:w="57" w:type="dxa"/>
                    <w:bottom w:w="15" w:type="dxa"/>
                    <w:right w:w="57" w:type="dxa"/>
                  </w:tcMar>
                  <w:vAlign w:val="center"/>
                </w:tcPr>
                <w:p>
                  <w:pPr>
                    <w:pStyle w:val="66"/>
                  </w:pPr>
                </w:p>
              </w:tc>
              <w:tc>
                <w:tcPr>
                  <w:tcW w:w="495" w:type="pct"/>
                  <w:vMerge w:val="continue"/>
                  <w:tcBorders>
                    <w:bottom w:val="single" w:color="auto" w:sz="4" w:space="0"/>
                  </w:tcBorders>
                  <w:noWrap/>
                  <w:tcMar>
                    <w:top w:w="15" w:type="dxa"/>
                    <w:left w:w="57" w:type="dxa"/>
                    <w:bottom w:w="15" w:type="dxa"/>
                    <w:right w:w="57" w:type="dxa"/>
                  </w:tcMar>
                  <w:vAlign w:val="center"/>
                </w:tcPr>
                <w:p>
                  <w:pPr>
                    <w:pStyle w:val="66"/>
                  </w:pPr>
                </w:p>
              </w:tc>
              <w:tc>
                <w:tcPr>
                  <w:tcW w:w="1138" w:type="pct"/>
                  <w:gridSpan w:val="2"/>
                  <w:vMerge w:val="continue"/>
                  <w:noWrap/>
                  <w:tcMar>
                    <w:top w:w="15" w:type="dxa"/>
                    <w:left w:w="57" w:type="dxa"/>
                    <w:bottom w:w="15" w:type="dxa"/>
                    <w:right w:w="57" w:type="dxa"/>
                  </w:tcMar>
                  <w:vAlign w:val="center"/>
                </w:tcPr>
                <w:p>
                  <w:pPr>
                    <w:pStyle w:val="66"/>
                  </w:pPr>
                </w:p>
              </w:tc>
              <w:tc>
                <w:tcPr>
                  <w:tcW w:w="912" w:type="pct"/>
                  <w:tcBorders>
                    <w:top w:val="single" w:color="auto" w:sz="4" w:space="0"/>
                  </w:tcBorders>
                  <w:noWrap/>
                  <w:tcMar>
                    <w:top w:w="15" w:type="dxa"/>
                    <w:left w:w="57" w:type="dxa"/>
                    <w:bottom w:w="15" w:type="dxa"/>
                    <w:right w:w="57" w:type="dxa"/>
                  </w:tcMar>
                  <w:vAlign w:val="center"/>
                </w:tcPr>
                <w:p>
                  <w:pPr>
                    <w:pStyle w:val="66"/>
                    <w:rPr>
                      <w:lang w:val="en-US" w:eastAsia="zh-CN"/>
                    </w:rPr>
                  </w:pPr>
                  <w:r>
                    <w:t>血常规检测</w:t>
                  </w:r>
                  <w:r>
                    <w:rPr>
                      <w:rFonts w:hint="eastAsia"/>
                      <w:lang w:val="en-US" w:eastAsia="zh-CN"/>
                    </w:rPr>
                    <w:t>样本</w:t>
                  </w:r>
                </w:p>
              </w:tc>
              <w:tc>
                <w:tcPr>
                  <w:tcW w:w="750"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829"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658" w:type="pct"/>
                  <w:tcBorders>
                    <w:top w:val="single" w:color="auto" w:sz="4" w:space="0"/>
                  </w:tcBorders>
                  <w:noWrap/>
                  <w:tcMar>
                    <w:top w:w="15" w:type="dxa"/>
                    <w:left w:w="57" w:type="dxa"/>
                    <w:bottom w:w="15" w:type="dxa"/>
                    <w:right w:w="57" w:type="dxa"/>
                  </w:tcMar>
                  <w:vAlign w:val="center"/>
                </w:tcPr>
                <w:p>
                  <w:pPr>
                    <w:pStyle w:val="66"/>
                    <w:rPr>
                      <w:lang w:val="en-US" w:eastAsia="zh-CN"/>
                    </w:rPr>
                  </w:pPr>
                  <w:r>
                    <w:rPr>
                      <w:lang w:val="en-US" w:eastAsia="zh-CN"/>
                    </w:rPr>
                    <w:t>2</w:t>
                  </w:r>
                  <w:r>
                    <w:rPr>
                      <w:rFonts w:hint="eastAsia"/>
                      <w:lang w:val="en-US" w:eastAsia="zh-CN"/>
                    </w:rPr>
                    <w:t>0000份</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7" w:hRule="atLeast"/>
                <w:jc w:val="center"/>
              </w:trPr>
              <w:tc>
                <w:tcPr>
                  <w:tcW w:w="218" w:type="pct"/>
                  <w:vMerge w:val="restart"/>
                  <w:tcBorders>
                    <w:top w:val="single" w:color="auto" w:sz="4" w:space="0"/>
                  </w:tcBorders>
                  <w:noWrap/>
                  <w:tcMar>
                    <w:top w:w="15" w:type="dxa"/>
                    <w:left w:w="57" w:type="dxa"/>
                    <w:bottom w:w="15" w:type="dxa"/>
                    <w:right w:w="57" w:type="dxa"/>
                  </w:tcMar>
                  <w:vAlign w:val="center"/>
                </w:tcPr>
                <w:p>
                  <w:pPr>
                    <w:pStyle w:val="66"/>
                  </w:pPr>
                  <w:r>
                    <w:rPr>
                      <w:rFonts w:hint="eastAsia"/>
                    </w:rPr>
                    <w:t>2</w:t>
                  </w:r>
                </w:p>
              </w:tc>
              <w:tc>
                <w:tcPr>
                  <w:tcW w:w="495" w:type="pct"/>
                  <w:vMerge w:val="restart"/>
                  <w:tcBorders>
                    <w:top w:val="single" w:color="auto" w:sz="4" w:space="0"/>
                  </w:tcBorders>
                  <w:noWrap/>
                  <w:tcMar>
                    <w:top w:w="15" w:type="dxa"/>
                    <w:left w:w="57" w:type="dxa"/>
                    <w:bottom w:w="15" w:type="dxa"/>
                    <w:right w:w="57" w:type="dxa"/>
                  </w:tcMar>
                  <w:vAlign w:val="center"/>
                </w:tcPr>
                <w:p>
                  <w:pPr>
                    <w:pStyle w:val="66"/>
                  </w:pPr>
                  <w:r>
                    <w:rPr>
                      <w:rFonts w:hint="eastAsia"/>
                    </w:rPr>
                    <w:t>分子及细胞遗传检验</w:t>
                  </w:r>
                </w:p>
              </w:tc>
              <w:tc>
                <w:tcPr>
                  <w:tcW w:w="1138" w:type="pct"/>
                  <w:gridSpan w:val="2"/>
                  <w:vMerge w:val="restart"/>
                  <w:noWrap/>
                  <w:tcMar>
                    <w:top w:w="15" w:type="dxa"/>
                    <w:left w:w="57" w:type="dxa"/>
                    <w:bottom w:w="15" w:type="dxa"/>
                    <w:right w:w="57" w:type="dxa"/>
                  </w:tcMar>
                  <w:vAlign w:val="center"/>
                </w:tcPr>
                <w:p>
                  <w:pPr>
                    <w:pStyle w:val="66"/>
                  </w:pPr>
                  <w:r>
                    <w:rPr>
                      <w:rFonts w:hint="eastAsia"/>
                    </w:rPr>
                    <w:t>染色体核型分析</w:t>
                  </w:r>
                </w:p>
              </w:tc>
              <w:tc>
                <w:tcPr>
                  <w:tcW w:w="912" w:type="pct"/>
                  <w:noWrap/>
                  <w:tcMar>
                    <w:top w:w="15" w:type="dxa"/>
                    <w:left w:w="57" w:type="dxa"/>
                    <w:bottom w:w="15" w:type="dxa"/>
                    <w:right w:w="57" w:type="dxa"/>
                  </w:tcMar>
                  <w:vAlign w:val="center"/>
                </w:tcPr>
                <w:p>
                  <w:pPr>
                    <w:pStyle w:val="66"/>
                  </w:pPr>
                  <w:r>
                    <w:rPr>
                      <w:rFonts w:hint="eastAsia"/>
                    </w:rPr>
                    <w:t>血细胞培养基</w:t>
                  </w:r>
                </w:p>
              </w:tc>
              <w:tc>
                <w:tcPr>
                  <w:tcW w:w="750" w:type="pct"/>
                  <w:noWrap/>
                  <w:tcMar>
                    <w:top w:w="15" w:type="dxa"/>
                    <w:left w:w="57" w:type="dxa"/>
                    <w:bottom w:w="15" w:type="dxa"/>
                    <w:right w:w="57" w:type="dxa"/>
                  </w:tcMar>
                  <w:vAlign w:val="center"/>
                </w:tcPr>
                <w:p>
                  <w:pPr>
                    <w:pStyle w:val="66"/>
                  </w:pPr>
                  <w:r>
                    <w:rPr>
                      <w:rFonts w:hint="eastAsia"/>
                    </w:rPr>
                    <w:t>葡萄糖</w:t>
                  </w:r>
                </w:p>
              </w:tc>
              <w:tc>
                <w:tcPr>
                  <w:tcW w:w="829" w:type="pct"/>
                  <w:noWrap/>
                  <w:tcMar>
                    <w:top w:w="15" w:type="dxa"/>
                    <w:left w:w="57" w:type="dxa"/>
                    <w:bottom w:w="15" w:type="dxa"/>
                    <w:right w:w="57" w:type="dxa"/>
                  </w:tcMar>
                  <w:vAlign w:val="center"/>
                </w:tcPr>
                <w:p>
                  <w:pPr>
                    <w:pStyle w:val="66"/>
                  </w:pPr>
                  <w:r>
                    <w:rPr>
                      <w:rFonts w:hint="eastAsia"/>
                    </w:rPr>
                    <w:t>100测试/盒</w:t>
                  </w:r>
                </w:p>
              </w:tc>
              <w:tc>
                <w:tcPr>
                  <w:tcW w:w="658" w:type="pct"/>
                  <w:noWrap/>
                  <w:tcMar>
                    <w:top w:w="15" w:type="dxa"/>
                    <w:left w:w="57" w:type="dxa"/>
                    <w:bottom w:w="15" w:type="dxa"/>
                    <w:right w:w="57" w:type="dxa"/>
                  </w:tcMar>
                  <w:vAlign w:val="center"/>
                </w:tcPr>
                <w:p>
                  <w:pPr>
                    <w:pStyle w:val="66"/>
                  </w:pPr>
                  <w:r>
                    <w:rPr>
                      <w:rFonts w:hint="eastAsia"/>
                    </w:rPr>
                    <w:t>20盒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6"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1138" w:type="pct"/>
                  <w:gridSpan w:val="2"/>
                  <w:vMerge w:val="continue"/>
                  <w:noWrap/>
                  <w:tcMar>
                    <w:top w:w="15" w:type="dxa"/>
                    <w:left w:w="57" w:type="dxa"/>
                    <w:bottom w:w="15" w:type="dxa"/>
                    <w:right w:w="57" w:type="dxa"/>
                  </w:tcMar>
                  <w:vAlign w:val="center"/>
                </w:tcPr>
                <w:p>
                  <w:pPr>
                    <w:pStyle w:val="66"/>
                  </w:pPr>
                </w:p>
              </w:tc>
              <w:tc>
                <w:tcPr>
                  <w:tcW w:w="912" w:type="pct"/>
                  <w:tcBorders>
                    <w:bottom w:val="single" w:color="auto" w:sz="4" w:space="0"/>
                  </w:tcBorders>
                  <w:noWrap/>
                  <w:tcMar>
                    <w:top w:w="15" w:type="dxa"/>
                    <w:left w:w="57" w:type="dxa"/>
                    <w:bottom w:w="15" w:type="dxa"/>
                    <w:right w:w="57" w:type="dxa"/>
                  </w:tcMar>
                  <w:vAlign w:val="center"/>
                </w:tcPr>
                <w:p>
                  <w:pPr>
                    <w:pStyle w:val="66"/>
                  </w:pPr>
                  <w:r>
                    <w:rPr>
                      <w:rFonts w:hint="eastAsia"/>
                    </w:rPr>
                    <w:t>血细胞染色剂</w:t>
                  </w:r>
                </w:p>
              </w:tc>
              <w:tc>
                <w:tcPr>
                  <w:tcW w:w="750" w:type="pct"/>
                  <w:tcBorders>
                    <w:bottom w:val="single" w:color="auto" w:sz="4" w:space="0"/>
                  </w:tcBorders>
                  <w:noWrap/>
                  <w:tcMar>
                    <w:top w:w="15" w:type="dxa"/>
                    <w:left w:w="57" w:type="dxa"/>
                    <w:bottom w:w="15" w:type="dxa"/>
                    <w:right w:w="57" w:type="dxa"/>
                  </w:tcMar>
                  <w:vAlign w:val="center"/>
                </w:tcPr>
                <w:p>
                  <w:pPr>
                    <w:pStyle w:val="66"/>
                  </w:pPr>
                  <w:r>
                    <w:t>亚甲蓝、伊红染液</w:t>
                  </w:r>
                </w:p>
              </w:tc>
              <w:tc>
                <w:tcPr>
                  <w:tcW w:w="829" w:type="pct"/>
                  <w:tcBorders>
                    <w:bottom w:val="single" w:color="auto" w:sz="4" w:space="0"/>
                  </w:tcBorders>
                  <w:noWrap/>
                  <w:tcMar>
                    <w:top w:w="15" w:type="dxa"/>
                    <w:left w:w="57" w:type="dxa"/>
                    <w:bottom w:w="15" w:type="dxa"/>
                    <w:right w:w="57" w:type="dxa"/>
                  </w:tcMar>
                  <w:vAlign w:val="center"/>
                </w:tcPr>
                <w:p>
                  <w:pPr>
                    <w:pStyle w:val="66"/>
                  </w:pPr>
                  <w:r>
                    <w:rPr>
                      <w:rFonts w:hint="eastAsia"/>
                    </w:rPr>
                    <w:t>100测试/盒</w:t>
                  </w:r>
                </w:p>
              </w:tc>
              <w:tc>
                <w:tcPr>
                  <w:tcW w:w="658" w:type="pct"/>
                  <w:tcBorders>
                    <w:bottom w:val="single" w:color="auto" w:sz="4" w:space="0"/>
                  </w:tcBorders>
                  <w:noWrap/>
                  <w:tcMar>
                    <w:top w:w="15" w:type="dxa"/>
                    <w:left w:w="57" w:type="dxa"/>
                    <w:bottom w:w="15" w:type="dxa"/>
                    <w:right w:w="57" w:type="dxa"/>
                  </w:tcMar>
                  <w:vAlign w:val="center"/>
                </w:tcPr>
                <w:p>
                  <w:pPr>
                    <w:pStyle w:val="66"/>
                  </w:pPr>
                  <w:r>
                    <w:rPr>
                      <w:rFonts w:hint="eastAsia"/>
                    </w:rPr>
                    <w:t>20盒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3"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1138" w:type="pct"/>
                  <w:gridSpan w:val="2"/>
                  <w:vMerge w:val="continue"/>
                  <w:noWrap/>
                  <w:tcMar>
                    <w:top w:w="15" w:type="dxa"/>
                    <w:left w:w="57" w:type="dxa"/>
                    <w:bottom w:w="15" w:type="dxa"/>
                    <w:right w:w="57" w:type="dxa"/>
                  </w:tcMar>
                  <w:vAlign w:val="center"/>
                </w:tcPr>
                <w:p>
                  <w:pPr>
                    <w:pStyle w:val="66"/>
                  </w:pPr>
                </w:p>
              </w:tc>
              <w:tc>
                <w:tcPr>
                  <w:tcW w:w="912"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rPr>
                    <w:t>染色体核型分析</w:t>
                  </w:r>
                  <w:r>
                    <w:rPr>
                      <w:rFonts w:hint="eastAsia"/>
                      <w:lang w:val="en-US" w:eastAsia="zh-CN"/>
                    </w:rPr>
                    <w:t>样本</w:t>
                  </w:r>
                </w:p>
              </w:tc>
              <w:tc>
                <w:tcPr>
                  <w:tcW w:w="750"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829"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658" w:type="pct"/>
                  <w:tcBorders>
                    <w:top w:val="single" w:color="auto" w:sz="4" w:space="0"/>
                  </w:tcBorders>
                  <w:noWrap/>
                  <w:tcMar>
                    <w:top w:w="15" w:type="dxa"/>
                    <w:left w:w="57" w:type="dxa"/>
                    <w:bottom w:w="15" w:type="dxa"/>
                    <w:right w:w="57" w:type="dxa"/>
                  </w:tcMar>
                  <w:vAlign w:val="center"/>
                </w:tcPr>
                <w:p>
                  <w:pPr>
                    <w:pStyle w:val="66"/>
                    <w:rPr>
                      <w:lang w:val="en-US" w:eastAsia="zh-CN"/>
                    </w:rPr>
                  </w:pPr>
                  <w:r>
                    <w:rPr>
                      <w:lang w:val="en-US" w:eastAsia="zh-CN"/>
                    </w:rPr>
                    <w:t>4</w:t>
                  </w:r>
                  <w:r>
                    <w:rPr>
                      <w:rFonts w:hint="eastAsia"/>
                      <w:lang w:val="en-US" w:eastAsia="zh-CN"/>
                    </w:rPr>
                    <w:t>000份</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810"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523" w:type="pct"/>
                  <w:vMerge w:val="restart"/>
                  <w:noWrap/>
                  <w:tcMar>
                    <w:top w:w="15" w:type="dxa"/>
                    <w:left w:w="57" w:type="dxa"/>
                    <w:bottom w:w="15" w:type="dxa"/>
                    <w:right w:w="57" w:type="dxa"/>
                  </w:tcMar>
                  <w:vAlign w:val="center"/>
                </w:tcPr>
                <w:p>
                  <w:pPr>
                    <w:pStyle w:val="66"/>
                  </w:pPr>
                  <w:r>
                    <w:t>感染性疾病分子生物学检测</w:t>
                  </w:r>
                </w:p>
              </w:tc>
              <w:tc>
                <w:tcPr>
                  <w:tcW w:w="615" w:type="pct"/>
                  <w:vMerge w:val="restart"/>
                  <w:noWrap/>
                  <w:tcMar>
                    <w:top w:w="15" w:type="dxa"/>
                    <w:left w:w="57" w:type="dxa"/>
                    <w:bottom w:w="15" w:type="dxa"/>
                    <w:right w:w="57" w:type="dxa"/>
                  </w:tcMar>
                  <w:vAlign w:val="center"/>
                </w:tcPr>
                <w:p>
                  <w:pPr>
                    <w:pStyle w:val="66"/>
                  </w:pPr>
                  <w:r>
                    <w:rPr>
                      <w:rFonts w:hint="eastAsia"/>
                    </w:rPr>
                    <w:t>新冠核酸检测</w:t>
                  </w:r>
                </w:p>
              </w:tc>
              <w:tc>
                <w:tcPr>
                  <w:tcW w:w="912" w:type="pct"/>
                  <w:noWrap/>
                  <w:tcMar>
                    <w:top w:w="15" w:type="dxa"/>
                    <w:left w:w="57" w:type="dxa"/>
                    <w:bottom w:w="15" w:type="dxa"/>
                    <w:right w:w="57" w:type="dxa"/>
                  </w:tcMar>
                  <w:vAlign w:val="center"/>
                </w:tcPr>
                <w:p>
                  <w:pPr>
                    <w:pStyle w:val="66"/>
                  </w:pPr>
                  <w:r>
                    <w:t>新型冠状病毒2019-nCoV核酸检测试剂盒</w:t>
                  </w:r>
                </w:p>
              </w:tc>
              <w:tc>
                <w:tcPr>
                  <w:tcW w:w="750" w:type="pct"/>
                  <w:noWrap/>
                  <w:tcMar>
                    <w:top w:w="15" w:type="dxa"/>
                    <w:left w:w="57" w:type="dxa"/>
                    <w:bottom w:w="15" w:type="dxa"/>
                    <w:right w:w="57" w:type="dxa"/>
                  </w:tcMar>
                  <w:vAlign w:val="center"/>
                </w:tcPr>
                <w:p>
                  <w:pPr>
                    <w:pStyle w:val="66"/>
                  </w:pPr>
                  <w:r>
                    <w:rPr>
                      <w:rFonts w:hint="eastAsia"/>
                    </w:rPr>
                    <w:t>酶、核酸、盐溶液</w:t>
                  </w:r>
                </w:p>
              </w:tc>
              <w:tc>
                <w:tcPr>
                  <w:tcW w:w="829" w:type="pct"/>
                  <w:noWrap/>
                  <w:tcMar>
                    <w:top w:w="15" w:type="dxa"/>
                    <w:left w:w="57" w:type="dxa"/>
                    <w:bottom w:w="15" w:type="dxa"/>
                    <w:right w:w="57" w:type="dxa"/>
                  </w:tcMar>
                  <w:vAlign w:val="center"/>
                </w:tcPr>
                <w:p>
                  <w:pPr>
                    <w:pStyle w:val="66"/>
                  </w:pPr>
                  <w:r>
                    <w:rPr>
                      <w:rFonts w:hint="eastAsia"/>
                      <w:lang w:eastAsia="zh-CN"/>
                    </w:rPr>
                    <w:t>4测试/盒</w:t>
                  </w:r>
                </w:p>
              </w:tc>
              <w:tc>
                <w:tcPr>
                  <w:tcW w:w="658" w:type="pct"/>
                  <w:noWrap/>
                  <w:tcMar>
                    <w:top w:w="15" w:type="dxa"/>
                    <w:left w:w="57" w:type="dxa"/>
                    <w:bottom w:w="15" w:type="dxa"/>
                    <w:right w:w="57" w:type="dxa"/>
                  </w:tcMar>
                  <w:vAlign w:val="center"/>
                </w:tcPr>
                <w:p>
                  <w:pPr>
                    <w:pStyle w:val="66"/>
                  </w:pPr>
                  <w:r>
                    <w:t>150</w:t>
                  </w:r>
                  <w:r>
                    <w:rPr>
                      <w:rFonts w:hint="eastAsia"/>
                    </w:rPr>
                    <w:t>000盒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90"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523" w:type="pct"/>
                  <w:vMerge w:val="continue"/>
                  <w:noWrap/>
                  <w:tcMar>
                    <w:top w:w="15" w:type="dxa"/>
                    <w:left w:w="57" w:type="dxa"/>
                    <w:bottom w:w="15" w:type="dxa"/>
                    <w:right w:w="57" w:type="dxa"/>
                  </w:tcMar>
                  <w:vAlign w:val="center"/>
                </w:tcPr>
                <w:p>
                  <w:pPr>
                    <w:pStyle w:val="66"/>
                  </w:pPr>
                </w:p>
              </w:tc>
              <w:tc>
                <w:tcPr>
                  <w:tcW w:w="615" w:type="pct"/>
                  <w:vMerge w:val="continue"/>
                  <w:noWrap/>
                  <w:tcMar>
                    <w:top w:w="15" w:type="dxa"/>
                    <w:left w:w="57" w:type="dxa"/>
                    <w:bottom w:w="15" w:type="dxa"/>
                    <w:right w:w="57" w:type="dxa"/>
                  </w:tcMar>
                  <w:vAlign w:val="center"/>
                </w:tcPr>
                <w:p>
                  <w:pPr>
                    <w:pStyle w:val="66"/>
                  </w:pPr>
                </w:p>
              </w:tc>
              <w:tc>
                <w:tcPr>
                  <w:tcW w:w="912" w:type="pct"/>
                  <w:tcBorders>
                    <w:bottom w:val="single" w:color="auto" w:sz="4" w:space="0"/>
                  </w:tcBorders>
                  <w:noWrap/>
                  <w:tcMar>
                    <w:top w:w="15" w:type="dxa"/>
                    <w:left w:w="57" w:type="dxa"/>
                    <w:bottom w:w="15" w:type="dxa"/>
                    <w:right w:w="57" w:type="dxa"/>
                  </w:tcMar>
                  <w:vAlign w:val="center"/>
                </w:tcPr>
                <w:p>
                  <w:pPr>
                    <w:pStyle w:val="66"/>
                  </w:pPr>
                  <w:r>
                    <w:t>核酸提取或纯化试剂</w:t>
                  </w:r>
                </w:p>
              </w:tc>
              <w:tc>
                <w:tcPr>
                  <w:tcW w:w="750" w:type="pct"/>
                  <w:tcBorders>
                    <w:bottom w:val="single" w:color="auto" w:sz="4" w:space="0"/>
                  </w:tcBorders>
                  <w:noWrap/>
                  <w:tcMar>
                    <w:top w:w="15" w:type="dxa"/>
                    <w:left w:w="57" w:type="dxa"/>
                    <w:bottom w:w="15" w:type="dxa"/>
                    <w:right w:w="57" w:type="dxa"/>
                  </w:tcMar>
                  <w:vAlign w:val="center"/>
                </w:tcPr>
                <w:p>
                  <w:pPr>
                    <w:pStyle w:val="66"/>
                  </w:pPr>
                  <w:r>
                    <w:rPr>
                      <w:rFonts w:hint="eastAsia"/>
                    </w:rPr>
                    <w:t>酶、核酸、盐溶液</w:t>
                  </w:r>
                </w:p>
              </w:tc>
              <w:tc>
                <w:tcPr>
                  <w:tcW w:w="829" w:type="pct"/>
                  <w:tcBorders>
                    <w:bottom w:val="single" w:color="auto" w:sz="4" w:space="0"/>
                  </w:tcBorders>
                  <w:noWrap/>
                  <w:tcMar>
                    <w:top w:w="15" w:type="dxa"/>
                    <w:left w:w="57" w:type="dxa"/>
                    <w:bottom w:w="15" w:type="dxa"/>
                    <w:right w:w="57" w:type="dxa"/>
                  </w:tcMar>
                  <w:vAlign w:val="center"/>
                </w:tcPr>
                <w:p>
                  <w:pPr>
                    <w:pStyle w:val="66"/>
                  </w:pPr>
                  <w:r>
                    <w:rPr>
                      <w:rFonts w:hint="eastAsia"/>
                      <w:lang w:eastAsia="zh-CN"/>
                    </w:rPr>
                    <w:t>4测试/盒</w:t>
                  </w:r>
                </w:p>
              </w:tc>
              <w:tc>
                <w:tcPr>
                  <w:tcW w:w="658" w:type="pct"/>
                  <w:tcBorders>
                    <w:bottom w:val="single" w:color="auto" w:sz="4" w:space="0"/>
                  </w:tcBorders>
                  <w:noWrap/>
                  <w:tcMar>
                    <w:top w:w="15" w:type="dxa"/>
                    <w:left w:w="57" w:type="dxa"/>
                    <w:bottom w:w="15" w:type="dxa"/>
                    <w:right w:w="57" w:type="dxa"/>
                  </w:tcMar>
                  <w:vAlign w:val="center"/>
                </w:tcPr>
                <w:p>
                  <w:pPr>
                    <w:pStyle w:val="66"/>
                  </w:pPr>
                  <w:r>
                    <w:t>150</w:t>
                  </w:r>
                  <w:r>
                    <w:rPr>
                      <w:rFonts w:hint="eastAsia"/>
                    </w:rPr>
                    <w:t>000盒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9"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523" w:type="pct"/>
                  <w:vMerge w:val="continue"/>
                  <w:noWrap/>
                  <w:tcMar>
                    <w:top w:w="15" w:type="dxa"/>
                    <w:left w:w="57" w:type="dxa"/>
                    <w:bottom w:w="15" w:type="dxa"/>
                    <w:right w:w="57" w:type="dxa"/>
                  </w:tcMar>
                  <w:vAlign w:val="center"/>
                </w:tcPr>
                <w:p>
                  <w:pPr>
                    <w:pStyle w:val="66"/>
                  </w:pPr>
                </w:p>
              </w:tc>
              <w:tc>
                <w:tcPr>
                  <w:tcW w:w="615" w:type="pct"/>
                  <w:vMerge w:val="continue"/>
                  <w:noWrap/>
                  <w:tcMar>
                    <w:top w:w="15" w:type="dxa"/>
                    <w:left w:w="57" w:type="dxa"/>
                    <w:bottom w:w="15" w:type="dxa"/>
                    <w:right w:w="57" w:type="dxa"/>
                  </w:tcMar>
                  <w:vAlign w:val="center"/>
                </w:tcPr>
                <w:p>
                  <w:pPr>
                    <w:pStyle w:val="66"/>
                  </w:pPr>
                </w:p>
              </w:tc>
              <w:tc>
                <w:tcPr>
                  <w:tcW w:w="912"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rPr>
                    <w:t>新冠核酸检测</w:t>
                  </w:r>
                  <w:r>
                    <w:rPr>
                      <w:rFonts w:hint="eastAsia"/>
                      <w:lang w:val="en-US" w:eastAsia="zh-CN"/>
                    </w:rPr>
                    <w:t>样本</w:t>
                  </w:r>
                </w:p>
              </w:tc>
              <w:tc>
                <w:tcPr>
                  <w:tcW w:w="750"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829"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658"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100万份</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4"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523" w:type="pct"/>
                  <w:vMerge w:val="continue"/>
                  <w:noWrap/>
                  <w:tcMar>
                    <w:top w:w="15" w:type="dxa"/>
                    <w:left w:w="57" w:type="dxa"/>
                    <w:bottom w:w="15" w:type="dxa"/>
                    <w:right w:w="57" w:type="dxa"/>
                  </w:tcMar>
                  <w:vAlign w:val="center"/>
                </w:tcPr>
                <w:p>
                  <w:pPr>
                    <w:pStyle w:val="66"/>
                  </w:pPr>
                </w:p>
              </w:tc>
              <w:tc>
                <w:tcPr>
                  <w:tcW w:w="615" w:type="pct"/>
                  <w:vMerge w:val="restart"/>
                  <w:noWrap/>
                  <w:tcMar>
                    <w:top w:w="15" w:type="dxa"/>
                    <w:left w:w="57" w:type="dxa"/>
                    <w:bottom w:w="15" w:type="dxa"/>
                    <w:right w:w="57" w:type="dxa"/>
                  </w:tcMar>
                  <w:vAlign w:val="center"/>
                </w:tcPr>
                <w:p>
                  <w:pPr>
                    <w:pStyle w:val="66"/>
                  </w:pPr>
                  <w:r>
                    <w:rPr>
                      <w:rFonts w:hint="eastAsia"/>
                    </w:rPr>
                    <w:t>HPV检测</w:t>
                  </w:r>
                </w:p>
              </w:tc>
              <w:tc>
                <w:tcPr>
                  <w:tcW w:w="912" w:type="pct"/>
                  <w:tcBorders>
                    <w:bottom w:val="single" w:color="auto" w:sz="4" w:space="0"/>
                  </w:tcBorders>
                  <w:noWrap/>
                  <w:tcMar>
                    <w:top w:w="15" w:type="dxa"/>
                    <w:left w:w="57" w:type="dxa"/>
                    <w:bottom w:w="15" w:type="dxa"/>
                    <w:right w:w="57" w:type="dxa"/>
                  </w:tcMar>
                  <w:vAlign w:val="center"/>
                </w:tcPr>
                <w:p>
                  <w:pPr>
                    <w:pStyle w:val="66"/>
                  </w:pPr>
                  <w:r>
                    <w:t>HPV分型检测试剂盒</w:t>
                  </w:r>
                </w:p>
              </w:tc>
              <w:tc>
                <w:tcPr>
                  <w:tcW w:w="750" w:type="pct"/>
                  <w:tcBorders>
                    <w:bottom w:val="single" w:color="auto" w:sz="4" w:space="0"/>
                  </w:tcBorders>
                  <w:noWrap/>
                  <w:tcMar>
                    <w:top w:w="15" w:type="dxa"/>
                    <w:left w:w="57" w:type="dxa"/>
                    <w:bottom w:w="15" w:type="dxa"/>
                    <w:right w:w="57" w:type="dxa"/>
                  </w:tcMar>
                  <w:vAlign w:val="center"/>
                </w:tcPr>
                <w:p>
                  <w:pPr>
                    <w:pStyle w:val="66"/>
                  </w:pPr>
                  <w:r>
                    <w:rPr>
                      <w:rFonts w:hint="eastAsia"/>
                    </w:rPr>
                    <w:t>酶、核酸、盐溶液</w:t>
                  </w:r>
                </w:p>
              </w:tc>
              <w:tc>
                <w:tcPr>
                  <w:tcW w:w="829" w:type="pct"/>
                  <w:tcBorders>
                    <w:bottom w:val="single" w:color="auto" w:sz="4" w:space="0"/>
                  </w:tcBorders>
                  <w:noWrap/>
                  <w:tcMar>
                    <w:top w:w="15" w:type="dxa"/>
                    <w:left w:w="57" w:type="dxa"/>
                    <w:bottom w:w="15" w:type="dxa"/>
                    <w:right w:w="57" w:type="dxa"/>
                  </w:tcMar>
                  <w:vAlign w:val="center"/>
                </w:tcPr>
                <w:p>
                  <w:pPr>
                    <w:pStyle w:val="66"/>
                  </w:pPr>
                  <w:r>
                    <w:rPr>
                      <w:rFonts w:hint="eastAsia"/>
                    </w:rPr>
                    <w:t>100测试/盒</w:t>
                  </w:r>
                </w:p>
              </w:tc>
              <w:tc>
                <w:tcPr>
                  <w:tcW w:w="658" w:type="pct"/>
                  <w:tcBorders>
                    <w:bottom w:val="single" w:color="auto" w:sz="4" w:space="0"/>
                  </w:tcBorders>
                  <w:noWrap/>
                  <w:tcMar>
                    <w:top w:w="15" w:type="dxa"/>
                    <w:left w:w="57" w:type="dxa"/>
                    <w:bottom w:w="15" w:type="dxa"/>
                    <w:right w:w="57" w:type="dxa"/>
                  </w:tcMar>
                  <w:vAlign w:val="center"/>
                </w:tcPr>
                <w:p>
                  <w:pPr>
                    <w:pStyle w:val="66"/>
                  </w:pPr>
                  <w:r>
                    <w:t>4</w:t>
                  </w:r>
                  <w:r>
                    <w:rPr>
                      <w:rFonts w:hint="eastAsia"/>
                    </w:rPr>
                    <w:t>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5"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523" w:type="pct"/>
                  <w:vMerge w:val="continue"/>
                  <w:noWrap/>
                  <w:tcMar>
                    <w:top w:w="15" w:type="dxa"/>
                    <w:left w:w="57" w:type="dxa"/>
                    <w:bottom w:w="15" w:type="dxa"/>
                    <w:right w:w="57" w:type="dxa"/>
                  </w:tcMar>
                  <w:vAlign w:val="center"/>
                </w:tcPr>
                <w:p>
                  <w:pPr>
                    <w:pStyle w:val="66"/>
                  </w:pPr>
                </w:p>
              </w:tc>
              <w:tc>
                <w:tcPr>
                  <w:tcW w:w="615" w:type="pct"/>
                  <w:vMerge w:val="continue"/>
                  <w:noWrap/>
                  <w:tcMar>
                    <w:top w:w="15" w:type="dxa"/>
                    <w:left w:w="57" w:type="dxa"/>
                    <w:bottom w:w="15" w:type="dxa"/>
                    <w:right w:w="57" w:type="dxa"/>
                  </w:tcMar>
                  <w:vAlign w:val="center"/>
                </w:tcPr>
                <w:p>
                  <w:pPr>
                    <w:pStyle w:val="66"/>
                  </w:pPr>
                </w:p>
              </w:tc>
              <w:tc>
                <w:tcPr>
                  <w:tcW w:w="912"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rPr>
                    <w:t>HPV检测</w:t>
                  </w:r>
                  <w:r>
                    <w:rPr>
                      <w:rFonts w:hint="eastAsia"/>
                      <w:lang w:val="en-US" w:eastAsia="zh-CN"/>
                    </w:rPr>
                    <w:t>样本</w:t>
                  </w:r>
                </w:p>
              </w:tc>
              <w:tc>
                <w:tcPr>
                  <w:tcW w:w="750"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829"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658" w:type="pct"/>
                  <w:tcBorders>
                    <w:top w:val="single" w:color="auto" w:sz="4" w:space="0"/>
                  </w:tcBorders>
                  <w:noWrap/>
                  <w:tcMar>
                    <w:top w:w="15" w:type="dxa"/>
                    <w:left w:w="57" w:type="dxa"/>
                    <w:bottom w:w="15" w:type="dxa"/>
                    <w:right w:w="57" w:type="dxa"/>
                  </w:tcMar>
                  <w:vAlign w:val="center"/>
                </w:tcPr>
                <w:p>
                  <w:pPr>
                    <w:pStyle w:val="66"/>
                    <w:rPr>
                      <w:lang w:val="en-US" w:eastAsia="zh-CN"/>
                    </w:rPr>
                  </w:pPr>
                  <w:r>
                    <w:rPr>
                      <w:lang w:val="en-US" w:eastAsia="zh-CN"/>
                    </w:rPr>
                    <w:t>4</w:t>
                  </w:r>
                  <w:r>
                    <w:rPr>
                      <w:rFonts w:hint="eastAsia"/>
                      <w:lang w:val="en-US" w:eastAsia="zh-CN"/>
                    </w:rPr>
                    <w:t>000份</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59"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523" w:type="pct"/>
                  <w:vMerge w:val="restart"/>
                  <w:noWrap/>
                  <w:tcMar>
                    <w:top w:w="15" w:type="dxa"/>
                    <w:left w:w="57" w:type="dxa"/>
                    <w:bottom w:w="15" w:type="dxa"/>
                    <w:right w:w="57" w:type="dxa"/>
                  </w:tcMar>
                  <w:vAlign w:val="center"/>
                </w:tcPr>
                <w:p>
                  <w:pPr>
                    <w:pStyle w:val="66"/>
                  </w:pPr>
                  <w:r>
                    <w:t>遗传病分子生物学检测</w:t>
                  </w:r>
                </w:p>
              </w:tc>
              <w:tc>
                <w:tcPr>
                  <w:tcW w:w="615" w:type="pct"/>
                  <w:vMerge w:val="restart"/>
                  <w:noWrap/>
                  <w:tcMar>
                    <w:top w:w="15" w:type="dxa"/>
                    <w:left w:w="57" w:type="dxa"/>
                    <w:bottom w:w="15" w:type="dxa"/>
                    <w:right w:w="57" w:type="dxa"/>
                  </w:tcMar>
                  <w:vAlign w:val="center"/>
                </w:tcPr>
                <w:p>
                  <w:pPr>
                    <w:pStyle w:val="66"/>
                  </w:pPr>
                  <w:r>
                    <w:rPr>
                      <w:rFonts w:hint="eastAsia"/>
                    </w:rPr>
                    <w:t>地贫基因检测</w:t>
                  </w:r>
                </w:p>
              </w:tc>
              <w:tc>
                <w:tcPr>
                  <w:tcW w:w="912" w:type="pct"/>
                  <w:noWrap/>
                  <w:tcMar>
                    <w:top w:w="15" w:type="dxa"/>
                    <w:left w:w="57" w:type="dxa"/>
                    <w:bottom w:w="15" w:type="dxa"/>
                    <w:right w:w="57" w:type="dxa"/>
                  </w:tcMar>
                  <w:vAlign w:val="center"/>
                </w:tcPr>
                <w:p>
                  <w:pPr>
                    <w:pStyle w:val="66"/>
                  </w:pPr>
                  <w:r>
                    <w:t>核酸提取或纯化试剂</w:t>
                  </w:r>
                </w:p>
              </w:tc>
              <w:tc>
                <w:tcPr>
                  <w:tcW w:w="750" w:type="pct"/>
                  <w:noWrap/>
                  <w:tcMar>
                    <w:top w:w="15" w:type="dxa"/>
                    <w:left w:w="57" w:type="dxa"/>
                    <w:bottom w:w="15" w:type="dxa"/>
                    <w:right w:w="57" w:type="dxa"/>
                  </w:tcMar>
                  <w:vAlign w:val="center"/>
                </w:tcPr>
                <w:p>
                  <w:pPr>
                    <w:pStyle w:val="66"/>
                  </w:pPr>
                  <w:r>
                    <w:rPr>
                      <w:rFonts w:hint="eastAsia"/>
                    </w:rPr>
                    <w:t>酶、核酸、盐溶液</w:t>
                  </w:r>
                </w:p>
              </w:tc>
              <w:tc>
                <w:tcPr>
                  <w:tcW w:w="829" w:type="pct"/>
                  <w:noWrap/>
                  <w:tcMar>
                    <w:top w:w="15" w:type="dxa"/>
                    <w:left w:w="57" w:type="dxa"/>
                    <w:bottom w:w="15" w:type="dxa"/>
                    <w:right w:w="57" w:type="dxa"/>
                  </w:tcMar>
                  <w:vAlign w:val="center"/>
                </w:tcPr>
                <w:p>
                  <w:pPr>
                    <w:pStyle w:val="66"/>
                  </w:pPr>
                  <w:r>
                    <w:rPr>
                      <w:rFonts w:hint="eastAsia"/>
                    </w:rPr>
                    <w:t>100测试/盒</w:t>
                  </w:r>
                </w:p>
              </w:tc>
              <w:tc>
                <w:tcPr>
                  <w:tcW w:w="658" w:type="pct"/>
                  <w:noWrap/>
                  <w:tcMar>
                    <w:top w:w="15" w:type="dxa"/>
                    <w:left w:w="57" w:type="dxa"/>
                    <w:bottom w:w="15" w:type="dxa"/>
                    <w:right w:w="57" w:type="dxa"/>
                  </w:tcMar>
                  <w:vAlign w:val="center"/>
                </w:tcPr>
                <w:p>
                  <w:pPr>
                    <w:pStyle w:val="66"/>
                  </w:pPr>
                  <w:r>
                    <w:rPr>
                      <w:rFonts w:hint="eastAsia"/>
                    </w:rPr>
                    <w:t>10盒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17"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523" w:type="pct"/>
                  <w:vMerge w:val="continue"/>
                  <w:noWrap/>
                  <w:tcMar>
                    <w:top w:w="15" w:type="dxa"/>
                    <w:left w:w="57" w:type="dxa"/>
                    <w:bottom w:w="15" w:type="dxa"/>
                    <w:right w:w="57" w:type="dxa"/>
                  </w:tcMar>
                  <w:vAlign w:val="center"/>
                </w:tcPr>
                <w:p>
                  <w:pPr>
                    <w:pStyle w:val="66"/>
                  </w:pPr>
                </w:p>
              </w:tc>
              <w:tc>
                <w:tcPr>
                  <w:tcW w:w="615" w:type="pct"/>
                  <w:vMerge w:val="continue"/>
                  <w:noWrap/>
                  <w:tcMar>
                    <w:top w:w="15" w:type="dxa"/>
                    <w:left w:w="57" w:type="dxa"/>
                    <w:bottom w:w="15" w:type="dxa"/>
                    <w:right w:w="57" w:type="dxa"/>
                  </w:tcMar>
                  <w:vAlign w:val="center"/>
                </w:tcPr>
                <w:p>
                  <w:pPr>
                    <w:pStyle w:val="66"/>
                  </w:pPr>
                </w:p>
              </w:tc>
              <w:tc>
                <w:tcPr>
                  <w:tcW w:w="912" w:type="pct"/>
                  <w:tcBorders>
                    <w:bottom w:val="single" w:color="auto" w:sz="4" w:space="0"/>
                  </w:tcBorders>
                  <w:noWrap/>
                  <w:tcMar>
                    <w:top w:w="15" w:type="dxa"/>
                    <w:left w:w="57" w:type="dxa"/>
                    <w:bottom w:w="15" w:type="dxa"/>
                    <w:right w:w="57" w:type="dxa"/>
                  </w:tcMar>
                  <w:vAlign w:val="center"/>
                </w:tcPr>
                <w:p>
                  <w:pPr>
                    <w:pStyle w:val="66"/>
                  </w:pPr>
                  <w:r>
                    <w:t>地贫基因检测试剂盒</w:t>
                  </w:r>
                </w:p>
              </w:tc>
              <w:tc>
                <w:tcPr>
                  <w:tcW w:w="750" w:type="pct"/>
                  <w:tcBorders>
                    <w:bottom w:val="single" w:color="auto" w:sz="4" w:space="0"/>
                  </w:tcBorders>
                  <w:noWrap/>
                  <w:tcMar>
                    <w:top w:w="15" w:type="dxa"/>
                    <w:left w:w="57" w:type="dxa"/>
                    <w:bottom w:w="15" w:type="dxa"/>
                    <w:right w:w="57" w:type="dxa"/>
                  </w:tcMar>
                  <w:vAlign w:val="center"/>
                </w:tcPr>
                <w:p>
                  <w:pPr>
                    <w:pStyle w:val="66"/>
                  </w:pPr>
                  <w:r>
                    <w:rPr>
                      <w:rFonts w:hint="eastAsia"/>
                    </w:rPr>
                    <w:t>酶、核酸、盐溶液</w:t>
                  </w:r>
                </w:p>
              </w:tc>
              <w:tc>
                <w:tcPr>
                  <w:tcW w:w="829" w:type="pct"/>
                  <w:tcBorders>
                    <w:bottom w:val="single" w:color="auto" w:sz="4" w:space="0"/>
                  </w:tcBorders>
                  <w:noWrap/>
                  <w:tcMar>
                    <w:top w:w="15" w:type="dxa"/>
                    <w:left w:w="57" w:type="dxa"/>
                    <w:bottom w:w="15" w:type="dxa"/>
                    <w:right w:w="57" w:type="dxa"/>
                  </w:tcMar>
                  <w:vAlign w:val="center"/>
                </w:tcPr>
                <w:p>
                  <w:pPr>
                    <w:pStyle w:val="66"/>
                  </w:pPr>
                  <w:r>
                    <w:rPr>
                      <w:rFonts w:hint="eastAsia"/>
                    </w:rPr>
                    <w:t>100测试/盒</w:t>
                  </w:r>
                </w:p>
              </w:tc>
              <w:tc>
                <w:tcPr>
                  <w:tcW w:w="658" w:type="pct"/>
                  <w:tcBorders>
                    <w:bottom w:val="single" w:color="auto" w:sz="4" w:space="0"/>
                  </w:tcBorders>
                  <w:noWrap/>
                  <w:tcMar>
                    <w:top w:w="15" w:type="dxa"/>
                    <w:left w:w="57" w:type="dxa"/>
                    <w:bottom w:w="15" w:type="dxa"/>
                    <w:right w:w="57" w:type="dxa"/>
                  </w:tcMar>
                  <w:vAlign w:val="center"/>
                </w:tcPr>
                <w:p>
                  <w:pPr>
                    <w:pStyle w:val="66"/>
                  </w:pPr>
                  <w:r>
                    <w:rPr>
                      <w:rFonts w:hint="eastAsia"/>
                    </w:rPr>
                    <w:t>10盒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2"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523" w:type="pct"/>
                  <w:vMerge w:val="continue"/>
                  <w:noWrap/>
                  <w:tcMar>
                    <w:top w:w="15" w:type="dxa"/>
                    <w:left w:w="57" w:type="dxa"/>
                    <w:bottom w:w="15" w:type="dxa"/>
                    <w:right w:w="57" w:type="dxa"/>
                  </w:tcMar>
                  <w:vAlign w:val="center"/>
                </w:tcPr>
                <w:p>
                  <w:pPr>
                    <w:pStyle w:val="66"/>
                  </w:pPr>
                </w:p>
              </w:tc>
              <w:tc>
                <w:tcPr>
                  <w:tcW w:w="615" w:type="pct"/>
                  <w:vMerge w:val="continue"/>
                  <w:noWrap/>
                  <w:tcMar>
                    <w:top w:w="15" w:type="dxa"/>
                    <w:left w:w="57" w:type="dxa"/>
                    <w:bottom w:w="15" w:type="dxa"/>
                    <w:right w:w="57" w:type="dxa"/>
                  </w:tcMar>
                  <w:vAlign w:val="center"/>
                </w:tcPr>
                <w:p>
                  <w:pPr>
                    <w:pStyle w:val="66"/>
                  </w:pPr>
                </w:p>
              </w:tc>
              <w:tc>
                <w:tcPr>
                  <w:tcW w:w="912"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rPr>
                    <w:t>地贫基因检测</w:t>
                  </w:r>
                  <w:r>
                    <w:rPr>
                      <w:rFonts w:hint="eastAsia"/>
                      <w:lang w:val="en-US" w:eastAsia="zh-CN"/>
                    </w:rPr>
                    <w:t>样本</w:t>
                  </w:r>
                </w:p>
              </w:tc>
              <w:tc>
                <w:tcPr>
                  <w:tcW w:w="750"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829"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658" w:type="pct"/>
                  <w:tcBorders>
                    <w:top w:val="single" w:color="auto" w:sz="4" w:space="0"/>
                  </w:tcBorders>
                  <w:noWrap/>
                  <w:tcMar>
                    <w:top w:w="15" w:type="dxa"/>
                    <w:left w:w="57" w:type="dxa"/>
                    <w:bottom w:w="15" w:type="dxa"/>
                    <w:right w:w="57" w:type="dxa"/>
                  </w:tcMar>
                  <w:vAlign w:val="center"/>
                </w:tcPr>
                <w:p>
                  <w:pPr>
                    <w:pStyle w:val="66"/>
                    <w:rPr>
                      <w:lang w:val="en-US" w:eastAsia="zh-CN"/>
                    </w:rPr>
                  </w:pPr>
                  <w:r>
                    <w:rPr>
                      <w:lang w:val="en-US" w:eastAsia="zh-CN"/>
                    </w:rPr>
                    <w:t>2</w:t>
                  </w:r>
                  <w:r>
                    <w:rPr>
                      <w:rFonts w:hint="eastAsia"/>
                      <w:lang w:val="en-US" w:eastAsia="zh-CN"/>
                    </w:rPr>
                    <w:t>000份</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59"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1138" w:type="pct"/>
                  <w:gridSpan w:val="2"/>
                  <w:vMerge w:val="restart"/>
                  <w:noWrap/>
                  <w:tcMar>
                    <w:top w:w="15" w:type="dxa"/>
                    <w:left w:w="57" w:type="dxa"/>
                    <w:bottom w:w="15" w:type="dxa"/>
                    <w:right w:w="57" w:type="dxa"/>
                  </w:tcMar>
                  <w:vAlign w:val="center"/>
                </w:tcPr>
                <w:p>
                  <w:pPr>
                    <w:pStyle w:val="66"/>
                  </w:pPr>
                  <w:r>
                    <w:t>肿瘤基因变异检测</w:t>
                  </w:r>
                </w:p>
              </w:tc>
              <w:tc>
                <w:tcPr>
                  <w:tcW w:w="912" w:type="pct"/>
                  <w:noWrap/>
                  <w:tcMar>
                    <w:top w:w="15" w:type="dxa"/>
                    <w:left w:w="57" w:type="dxa"/>
                    <w:bottom w:w="15" w:type="dxa"/>
                    <w:right w:w="57" w:type="dxa"/>
                  </w:tcMar>
                  <w:vAlign w:val="center"/>
                </w:tcPr>
                <w:p>
                  <w:pPr>
                    <w:pStyle w:val="66"/>
                  </w:pPr>
                  <w:r>
                    <w:rPr>
                      <w:rFonts w:hint="eastAsia"/>
                    </w:rPr>
                    <w:t>核酸提取或纯化试剂</w:t>
                  </w:r>
                </w:p>
              </w:tc>
              <w:tc>
                <w:tcPr>
                  <w:tcW w:w="750" w:type="pct"/>
                  <w:noWrap/>
                  <w:tcMar>
                    <w:top w:w="15" w:type="dxa"/>
                    <w:left w:w="57" w:type="dxa"/>
                    <w:bottom w:w="15" w:type="dxa"/>
                    <w:right w:w="57" w:type="dxa"/>
                  </w:tcMar>
                  <w:vAlign w:val="center"/>
                </w:tcPr>
                <w:p>
                  <w:pPr>
                    <w:pStyle w:val="66"/>
                  </w:pPr>
                  <w:r>
                    <w:t>酶、核酸、盐溶液</w:t>
                  </w:r>
                </w:p>
              </w:tc>
              <w:tc>
                <w:tcPr>
                  <w:tcW w:w="829" w:type="pct"/>
                  <w:noWrap/>
                  <w:tcMar>
                    <w:top w:w="15" w:type="dxa"/>
                    <w:left w:w="57" w:type="dxa"/>
                    <w:bottom w:w="15" w:type="dxa"/>
                    <w:right w:w="57" w:type="dxa"/>
                  </w:tcMar>
                  <w:vAlign w:val="center"/>
                </w:tcPr>
                <w:p>
                  <w:pPr>
                    <w:pStyle w:val="66"/>
                  </w:pPr>
                  <w:r>
                    <w:rPr>
                      <w:rFonts w:hint="eastAsia"/>
                    </w:rPr>
                    <w:t>100测试/盒</w:t>
                  </w:r>
                </w:p>
              </w:tc>
              <w:tc>
                <w:tcPr>
                  <w:tcW w:w="658" w:type="pct"/>
                  <w:noWrap/>
                  <w:tcMar>
                    <w:top w:w="15" w:type="dxa"/>
                    <w:left w:w="57" w:type="dxa"/>
                    <w:bottom w:w="15" w:type="dxa"/>
                    <w:right w:w="57" w:type="dxa"/>
                  </w:tcMar>
                  <w:vAlign w:val="center"/>
                </w:tcPr>
                <w:p>
                  <w:pPr>
                    <w:pStyle w:val="66"/>
                  </w:pPr>
                  <w:r>
                    <w:t>3</w:t>
                  </w:r>
                  <w:r>
                    <w:rPr>
                      <w:rFonts w:hint="eastAsia"/>
                    </w:rPr>
                    <w:t>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59"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1138" w:type="pct"/>
                  <w:gridSpan w:val="2"/>
                  <w:vMerge w:val="continue"/>
                  <w:noWrap/>
                  <w:tcMar>
                    <w:top w:w="15" w:type="dxa"/>
                    <w:left w:w="57" w:type="dxa"/>
                    <w:bottom w:w="15" w:type="dxa"/>
                    <w:right w:w="57" w:type="dxa"/>
                  </w:tcMar>
                  <w:vAlign w:val="center"/>
                </w:tcPr>
                <w:p>
                  <w:pPr>
                    <w:pStyle w:val="66"/>
                  </w:pPr>
                </w:p>
              </w:tc>
              <w:tc>
                <w:tcPr>
                  <w:tcW w:w="912" w:type="pct"/>
                  <w:noWrap/>
                  <w:tcMar>
                    <w:top w:w="15" w:type="dxa"/>
                    <w:left w:w="57" w:type="dxa"/>
                    <w:bottom w:w="15" w:type="dxa"/>
                    <w:right w:w="57" w:type="dxa"/>
                  </w:tcMar>
                  <w:vAlign w:val="center"/>
                </w:tcPr>
                <w:p>
                  <w:pPr>
                    <w:pStyle w:val="66"/>
                  </w:pPr>
                  <w:r>
                    <w:rPr>
                      <w:rFonts w:hint="eastAsia"/>
                    </w:rPr>
                    <w:t>测序panel文库构建试剂盒</w:t>
                  </w:r>
                </w:p>
              </w:tc>
              <w:tc>
                <w:tcPr>
                  <w:tcW w:w="750" w:type="pct"/>
                  <w:noWrap/>
                  <w:tcMar>
                    <w:top w:w="15" w:type="dxa"/>
                    <w:left w:w="57" w:type="dxa"/>
                    <w:bottom w:w="15" w:type="dxa"/>
                    <w:right w:w="57" w:type="dxa"/>
                  </w:tcMar>
                  <w:vAlign w:val="center"/>
                </w:tcPr>
                <w:p>
                  <w:pPr>
                    <w:pStyle w:val="66"/>
                  </w:pPr>
                  <w:r>
                    <w:t>酶、核酸、盐溶液</w:t>
                  </w:r>
                </w:p>
              </w:tc>
              <w:tc>
                <w:tcPr>
                  <w:tcW w:w="829" w:type="pct"/>
                  <w:noWrap/>
                  <w:tcMar>
                    <w:top w:w="15" w:type="dxa"/>
                    <w:left w:w="57" w:type="dxa"/>
                    <w:bottom w:w="15" w:type="dxa"/>
                    <w:right w:w="57" w:type="dxa"/>
                  </w:tcMar>
                  <w:vAlign w:val="center"/>
                </w:tcPr>
                <w:p>
                  <w:pPr>
                    <w:pStyle w:val="66"/>
                  </w:pPr>
                  <w:r>
                    <w:rPr>
                      <w:rFonts w:hint="eastAsia"/>
                    </w:rPr>
                    <w:t>100测试/盒</w:t>
                  </w:r>
                </w:p>
              </w:tc>
              <w:tc>
                <w:tcPr>
                  <w:tcW w:w="658" w:type="pct"/>
                  <w:noWrap/>
                  <w:tcMar>
                    <w:top w:w="15" w:type="dxa"/>
                    <w:left w:w="57" w:type="dxa"/>
                    <w:bottom w:w="15" w:type="dxa"/>
                    <w:right w:w="57" w:type="dxa"/>
                  </w:tcMar>
                  <w:vAlign w:val="center"/>
                </w:tcPr>
                <w:p>
                  <w:pPr>
                    <w:pStyle w:val="66"/>
                  </w:pPr>
                  <w:r>
                    <w:t>3</w:t>
                  </w:r>
                  <w:r>
                    <w:rPr>
                      <w:rFonts w:hint="eastAsia"/>
                    </w:rPr>
                    <w:t>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90"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1138" w:type="pct"/>
                  <w:gridSpan w:val="2"/>
                  <w:vMerge w:val="continue"/>
                  <w:noWrap/>
                  <w:tcMar>
                    <w:top w:w="15" w:type="dxa"/>
                    <w:left w:w="57" w:type="dxa"/>
                    <w:bottom w:w="15" w:type="dxa"/>
                    <w:right w:w="57" w:type="dxa"/>
                  </w:tcMar>
                  <w:vAlign w:val="center"/>
                </w:tcPr>
                <w:p>
                  <w:pPr>
                    <w:pStyle w:val="66"/>
                  </w:pPr>
                </w:p>
              </w:tc>
              <w:tc>
                <w:tcPr>
                  <w:tcW w:w="912" w:type="pct"/>
                  <w:tcBorders>
                    <w:bottom w:val="single" w:color="auto" w:sz="4" w:space="0"/>
                  </w:tcBorders>
                  <w:noWrap/>
                  <w:tcMar>
                    <w:top w:w="15" w:type="dxa"/>
                    <w:left w:w="57" w:type="dxa"/>
                    <w:bottom w:w="15" w:type="dxa"/>
                    <w:right w:w="57" w:type="dxa"/>
                  </w:tcMar>
                  <w:vAlign w:val="center"/>
                </w:tcPr>
                <w:p>
                  <w:pPr>
                    <w:pStyle w:val="66"/>
                  </w:pPr>
                  <w:r>
                    <w:rPr>
                      <w:rFonts w:hint="eastAsia"/>
                    </w:rPr>
                    <w:t>测序试剂盒</w:t>
                  </w:r>
                </w:p>
              </w:tc>
              <w:tc>
                <w:tcPr>
                  <w:tcW w:w="750" w:type="pct"/>
                  <w:tcBorders>
                    <w:bottom w:val="single" w:color="auto" w:sz="4" w:space="0"/>
                  </w:tcBorders>
                  <w:noWrap/>
                  <w:tcMar>
                    <w:top w:w="15" w:type="dxa"/>
                    <w:left w:w="57" w:type="dxa"/>
                    <w:bottom w:w="15" w:type="dxa"/>
                    <w:right w:w="57" w:type="dxa"/>
                  </w:tcMar>
                  <w:vAlign w:val="center"/>
                </w:tcPr>
                <w:p>
                  <w:pPr>
                    <w:pStyle w:val="66"/>
                  </w:pPr>
                  <w:r>
                    <w:t>酶、核酸、盐溶液</w:t>
                  </w:r>
                </w:p>
              </w:tc>
              <w:tc>
                <w:tcPr>
                  <w:tcW w:w="829" w:type="pct"/>
                  <w:tcBorders>
                    <w:bottom w:val="single" w:color="auto" w:sz="4" w:space="0"/>
                  </w:tcBorders>
                  <w:noWrap/>
                  <w:tcMar>
                    <w:top w:w="15" w:type="dxa"/>
                    <w:left w:w="57" w:type="dxa"/>
                    <w:bottom w:w="15" w:type="dxa"/>
                    <w:right w:w="57" w:type="dxa"/>
                  </w:tcMar>
                  <w:vAlign w:val="center"/>
                </w:tcPr>
                <w:p>
                  <w:pPr>
                    <w:pStyle w:val="66"/>
                  </w:pPr>
                  <w:r>
                    <w:rPr>
                      <w:rFonts w:hint="eastAsia"/>
                    </w:rPr>
                    <w:t>100测试/盒</w:t>
                  </w:r>
                </w:p>
              </w:tc>
              <w:tc>
                <w:tcPr>
                  <w:tcW w:w="658" w:type="pct"/>
                  <w:tcBorders>
                    <w:bottom w:val="single" w:color="auto" w:sz="4" w:space="0"/>
                  </w:tcBorders>
                  <w:noWrap/>
                  <w:tcMar>
                    <w:top w:w="15" w:type="dxa"/>
                    <w:left w:w="57" w:type="dxa"/>
                    <w:bottom w:w="15" w:type="dxa"/>
                    <w:right w:w="57" w:type="dxa"/>
                  </w:tcMar>
                  <w:vAlign w:val="center"/>
                </w:tcPr>
                <w:p>
                  <w:pPr>
                    <w:pStyle w:val="66"/>
                  </w:pPr>
                  <w:r>
                    <w:t>4</w:t>
                  </w:r>
                  <w:r>
                    <w:rPr>
                      <w:rFonts w:hint="eastAsia"/>
                    </w:rPr>
                    <w:t>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9"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1138" w:type="pct"/>
                  <w:gridSpan w:val="2"/>
                  <w:vMerge w:val="continue"/>
                  <w:noWrap/>
                  <w:tcMar>
                    <w:top w:w="15" w:type="dxa"/>
                    <w:left w:w="57" w:type="dxa"/>
                    <w:bottom w:w="15" w:type="dxa"/>
                    <w:right w:w="57" w:type="dxa"/>
                  </w:tcMar>
                  <w:vAlign w:val="center"/>
                </w:tcPr>
                <w:p>
                  <w:pPr>
                    <w:pStyle w:val="66"/>
                  </w:pPr>
                </w:p>
              </w:tc>
              <w:tc>
                <w:tcPr>
                  <w:tcW w:w="912"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rPr>
                    <w:t>肿瘤基因变异检测</w:t>
                  </w:r>
                  <w:r>
                    <w:rPr>
                      <w:rFonts w:hint="eastAsia"/>
                      <w:lang w:val="en-US" w:eastAsia="zh-CN"/>
                    </w:rPr>
                    <w:t>样本</w:t>
                  </w:r>
                </w:p>
              </w:tc>
              <w:tc>
                <w:tcPr>
                  <w:tcW w:w="750"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829"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658" w:type="pct"/>
                  <w:tcBorders>
                    <w:top w:val="single" w:color="auto" w:sz="4" w:space="0"/>
                  </w:tcBorders>
                  <w:noWrap/>
                  <w:tcMar>
                    <w:top w:w="15" w:type="dxa"/>
                    <w:left w:w="57" w:type="dxa"/>
                    <w:bottom w:w="15" w:type="dxa"/>
                    <w:right w:w="57" w:type="dxa"/>
                  </w:tcMar>
                  <w:vAlign w:val="center"/>
                </w:tcPr>
                <w:p>
                  <w:pPr>
                    <w:pStyle w:val="66"/>
                    <w:rPr>
                      <w:lang w:val="en-US" w:eastAsia="zh-CN"/>
                    </w:rPr>
                  </w:pPr>
                  <w:r>
                    <w:rPr>
                      <w:lang w:val="en-US" w:eastAsia="zh-CN"/>
                    </w:rPr>
                    <w:t>10</w:t>
                  </w:r>
                  <w:r>
                    <w:rPr>
                      <w:rFonts w:hint="eastAsia"/>
                      <w:lang w:val="en-US" w:eastAsia="zh-CN"/>
                    </w:rPr>
                    <w:t>000份</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64" w:hRule="atLeast"/>
                <w:jc w:val="center"/>
              </w:trPr>
              <w:tc>
                <w:tcPr>
                  <w:tcW w:w="218" w:type="pct"/>
                  <w:vMerge w:val="restart"/>
                  <w:noWrap/>
                  <w:tcMar>
                    <w:top w:w="15" w:type="dxa"/>
                    <w:left w:w="57" w:type="dxa"/>
                    <w:bottom w:w="15" w:type="dxa"/>
                    <w:right w:w="57" w:type="dxa"/>
                  </w:tcMar>
                  <w:vAlign w:val="center"/>
                </w:tcPr>
                <w:p>
                  <w:pPr>
                    <w:pStyle w:val="66"/>
                  </w:pPr>
                  <w:r>
                    <w:rPr>
                      <w:rFonts w:hint="eastAsia"/>
                    </w:rPr>
                    <w:t>3</w:t>
                  </w:r>
                </w:p>
              </w:tc>
              <w:tc>
                <w:tcPr>
                  <w:tcW w:w="495" w:type="pct"/>
                  <w:vMerge w:val="restart"/>
                  <w:noWrap/>
                  <w:tcMar>
                    <w:top w:w="15" w:type="dxa"/>
                    <w:left w:w="57" w:type="dxa"/>
                    <w:bottom w:w="15" w:type="dxa"/>
                    <w:right w:w="57" w:type="dxa"/>
                  </w:tcMar>
                  <w:vAlign w:val="center"/>
                </w:tcPr>
                <w:p>
                  <w:pPr>
                    <w:pStyle w:val="66"/>
                  </w:pPr>
                  <w:r>
                    <w:rPr>
                      <w:rFonts w:hint="eastAsia"/>
                    </w:rPr>
                    <w:t>临床生化检测</w:t>
                  </w:r>
                </w:p>
              </w:tc>
              <w:tc>
                <w:tcPr>
                  <w:tcW w:w="1138" w:type="pct"/>
                  <w:gridSpan w:val="2"/>
                  <w:vMerge w:val="restart"/>
                  <w:noWrap/>
                  <w:tcMar>
                    <w:top w:w="15" w:type="dxa"/>
                    <w:left w:w="57" w:type="dxa"/>
                    <w:bottom w:w="15" w:type="dxa"/>
                    <w:right w:w="57" w:type="dxa"/>
                  </w:tcMar>
                  <w:vAlign w:val="center"/>
                </w:tcPr>
                <w:p>
                  <w:pPr>
                    <w:pStyle w:val="66"/>
                  </w:pPr>
                  <w:r>
                    <w:rPr>
                      <w:rFonts w:hint="eastAsia"/>
                    </w:rPr>
                    <w:t>肾功能</w:t>
                  </w:r>
                  <w:r>
                    <w:rPr>
                      <w:rFonts w:hint="eastAsia"/>
                      <w:lang w:eastAsia="zh-CN"/>
                    </w:rPr>
                    <w:t>、</w:t>
                  </w:r>
                  <w:r>
                    <w:rPr>
                      <w:rFonts w:hint="eastAsia"/>
                    </w:rPr>
                    <w:t>血脂</w:t>
                  </w:r>
                  <w:r>
                    <w:rPr>
                      <w:rFonts w:hint="eastAsia"/>
                      <w:lang w:eastAsia="zh-CN"/>
                    </w:rPr>
                    <w:t>、</w:t>
                  </w:r>
                  <w:r>
                    <w:rPr>
                      <w:rFonts w:hint="eastAsia"/>
                    </w:rPr>
                    <w:t>肝功能</w:t>
                  </w:r>
                  <w:r>
                    <w:rPr>
                      <w:rFonts w:hint="eastAsia"/>
                      <w:lang w:eastAsia="zh-CN"/>
                    </w:rPr>
                    <w:t>、</w:t>
                  </w:r>
                  <w:r>
                    <w:rPr>
                      <w:rFonts w:hint="eastAsia"/>
                    </w:rPr>
                    <w:t>心肌标志物</w:t>
                  </w:r>
                </w:p>
                <w:p>
                  <w:pPr>
                    <w:pStyle w:val="66"/>
                  </w:pPr>
                  <w:r>
                    <w:rPr>
                      <w:rFonts w:hint="eastAsia"/>
                    </w:rPr>
                    <w:t>检测</w:t>
                  </w:r>
                </w:p>
              </w:tc>
              <w:tc>
                <w:tcPr>
                  <w:tcW w:w="912" w:type="pct"/>
                  <w:tcBorders>
                    <w:bottom w:val="single" w:color="auto" w:sz="4" w:space="0"/>
                  </w:tcBorders>
                  <w:noWrap/>
                  <w:tcMar>
                    <w:top w:w="15" w:type="dxa"/>
                    <w:left w:w="57" w:type="dxa"/>
                    <w:bottom w:w="15" w:type="dxa"/>
                    <w:right w:w="57" w:type="dxa"/>
                  </w:tcMar>
                  <w:vAlign w:val="center"/>
                </w:tcPr>
                <w:p>
                  <w:pPr>
                    <w:pStyle w:val="66"/>
                  </w:pPr>
                  <w:r>
                    <w:rPr>
                      <w:rFonts w:hint="eastAsia"/>
                      <w:lang w:val="en-US" w:eastAsia="zh-CN"/>
                    </w:rPr>
                    <w:t>生化检测试剂盒</w:t>
                  </w:r>
                </w:p>
              </w:tc>
              <w:tc>
                <w:tcPr>
                  <w:tcW w:w="750" w:type="pct"/>
                  <w:tcBorders>
                    <w:bottom w:val="single" w:color="auto" w:sz="4" w:space="0"/>
                  </w:tcBorders>
                  <w:noWrap/>
                  <w:tcMar>
                    <w:top w:w="15" w:type="dxa"/>
                    <w:left w:w="57" w:type="dxa"/>
                    <w:bottom w:w="15" w:type="dxa"/>
                    <w:right w:w="57" w:type="dxa"/>
                  </w:tcMar>
                  <w:vAlign w:val="center"/>
                </w:tcPr>
                <w:p>
                  <w:pPr>
                    <w:pStyle w:val="66"/>
                  </w:pPr>
                  <w:r>
                    <w:rPr>
                      <w:rFonts w:hint="eastAsia"/>
                    </w:rPr>
                    <w:t>抗原、抗体溶液</w:t>
                  </w:r>
                  <w:r>
                    <w:rPr>
                      <w:rFonts w:hint="eastAsia"/>
                      <w:lang w:eastAsia="zh-CN"/>
                    </w:rPr>
                    <w:t>、</w:t>
                  </w:r>
                  <w:r>
                    <w:rPr>
                      <w:rFonts w:hint="eastAsia"/>
                      <w:lang w:val="en-US" w:eastAsia="zh-CN"/>
                    </w:rPr>
                    <w:t>酶、</w:t>
                  </w:r>
                  <w:r>
                    <w:rPr>
                      <w:rFonts w:hint="eastAsia"/>
                    </w:rPr>
                    <w:t>盐溶液</w:t>
                  </w:r>
                </w:p>
              </w:tc>
              <w:tc>
                <w:tcPr>
                  <w:tcW w:w="829" w:type="pct"/>
                  <w:tcBorders>
                    <w:bottom w:val="single" w:color="auto" w:sz="4" w:space="0"/>
                  </w:tcBorders>
                  <w:noWrap/>
                  <w:tcMar>
                    <w:top w:w="15" w:type="dxa"/>
                    <w:left w:w="57" w:type="dxa"/>
                    <w:bottom w:w="15" w:type="dxa"/>
                    <w:right w:w="57" w:type="dxa"/>
                  </w:tcMar>
                  <w:vAlign w:val="center"/>
                </w:tcPr>
                <w:p>
                  <w:pPr>
                    <w:pStyle w:val="66"/>
                  </w:pPr>
                  <w:r>
                    <w:rPr>
                      <w:rFonts w:hint="eastAsia"/>
                    </w:rPr>
                    <w:t>100测试/盒</w:t>
                  </w:r>
                </w:p>
              </w:tc>
              <w:tc>
                <w:tcPr>
                  <w:tcW w:w="658" w:type="pct"/>
                  <w:tcBorders>
                    <w:bottom w:val="single" w:color="auto" w:sz="4" w:space="0"/>
                  </w:tcBorders>
                  <w:noWrap/>
                  <w:tcMar>
                    <w:top w:w="15" w:type="dxa"/>
                    <w:left w:w="57" w:type="dxa"/>
                    <w:bottom w:w="15" w:type="dxa"/>
                    <w:right w:w="57" w:type="dxa"/>
                  </w:tcMar>
                  <w:vAlign w:val="center"/>
                </w:tcPr>
                <w:p>
                  <w:pPr>
                    <w:pStyle w:val="66"/>
                  </w:pPr>
                  <w:r>
                    <w:t>2</w:t>
                  </w:r>
                  <w:r>
                    <w:rPr>
                      <w:rFonts w:hint="eastAsia"/>
                    </w:rPr>
                    <w:t>00盒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3"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1138" w:type="pct"/>
                  <w:gridSpan w:val="2"/>
                  <w:vMerge w:val="continue"/>
                  <w:noWrap/>
                  <w:tcMar>
                    <w:top w:w="15" w:type="dxa"/>
                    <w:left w:w="57" w:type="dxa"/>
                    <w:bottom w:w="15" w:type="dxa"/>
                    <w:right w:w="57" w:type="dxa"/>
                  </w:tcMar>
                  <w:vAlign w:val="center"/>
                </w:tcPr>
                <w:p>
                  <w:pPr>
                    <w:pStyle w:val="66"/>
                  </w:pPr>
                </w:p>
              </w:tc>
              <w:tc>
                <w:tcPr>
                  <w:tcW w:w="912"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rPr>
                    <w:t>临床生化检测</w:t>
                  </w:r>
                  <w:r>
                    <w:rPr>
                      <w:rFonts w:hint="eastAsia"/>
                      <w:lang w:val="en-US" w:eastAsia="zh-CN"/>
                    </w:rPr>
                    <w:t>样本</w:t>
                  </w:r>
                </w:p>
              </w:tc>
              <w:tc>
                <w:tcPr>
                  <w:tcW w:w="750"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829"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658" w:type="pct"/>
                  <w:tcBorders>
                    <w:top w:val="single" w:color="auto" w:sz="4" w:space="0"/>
                  </w:tcBorders>
                  <w:noWrap/>
                  <w:tcMar>
                    <w:top w:w="15" w:type="dxa"/>
                    <w:left w:w="57" w:type="dxa"/>
                    <w:bottom w:w="15" w:type="dxa"/>
                    <w:right w:w="57" w:type="dxa"/>
                  </w:tcMar>
                  <w:vAlign w:val="center"/>
                </w:tcPr>
                <w:p>
                  <w:pPr>
                    <w:pStyle w:val="66"/>
                    <w:rPr>
                      <w:lang w:val="en-US" w:eastAsia="zh-CN"/>
                    </w:rPr>
                  </w:pPr>
                  <w:r>
                    <w:rPr>
                      <w:lang w:val="en-US" w:eastAsia="zh-CN"/>
                    </w:rPr>
                    <w:t>2</w:t>
                  </w:r>
                  <w:r>
                    <w:rPr>
                      <w:rFonts w:hint="eastAsia"/>
                      <w:lang w:val="en-US" w:eastAsia="zh-CN"/>
                    </w:rPr>
                    <w:t>0000份</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0" w:hRule="atLeast"/>
                <w:jc w:val="center"/>
              </w:trPr>
              <w:tc>
                <w:tcPr>
                  <w:tcW w:w="218" w:type="pct"/>
                  <w:vMerge w:val="restart"/>
                  <w:noWrap/>
                  <w:tcMar>
                    <w:top w:w="15" w:type="dxa"/>
                    <w:left w:w="57" w:type="dxa"/>
                    <w:bottom w:w="15" w:type="dxa"/>
                    <w:right w:w="57" w:type="dxa"/>
                  </w:tcMar>
                  <w:vAlign w:val="center"/>
                </w:tcPr>
                <w:p>
                  <w:pPr>
                    <w:pStyle w:val="66"/>
                  </w:pPr>
                  <w:r>
                    <w:rPr>
                      <w:rFonts w:hint="eastAsia"/>
                    </w:rPr>
                    <w:t>4</w:t>
                  </w:r>
                </w:p>
              </w:tc>
              <w:tc>
                <w:tcPr>
                  <w:tcW w:w="495" w:type="pct"/>
                  <w:vMerge w:val="restart"/>
                  <w:noWrap/>
                  <w:tcMar>
                    <w:top w:w="15" w:type="dxa"/>
                    <w:left w:w="57" w:type="dxa"/>
                    <w:bottom w:w="15" w:type="dxa"/>
                    <w:right w:w="57" w:type="dxa"/>
                  </w:tcMar>
                  <w:vAlign w:val="center"/>
                </w:tcPr>
                <w:p>
                  <w:pPr>
                    <w:pStyle w:val="66"/>
                  </w:pPr>
                  <w:r>
                    <w:rPr>
                      <w:rFonts w:hint="eastAsia"/>
                    </w:rPr>
                    <w:t>临床免疫检测</w:t>
                  </w:r>
                </w:p>
              </w:tc>
              <w:tc>
                <w:tcPr>
                  <w:tcW w:w="1138" w:type="pct"/>
                  <w:gridSpan w:val="2"/>
                  <w:vMerge w:val="restart"/>
                  <w:noWrap/>
                  <w:tcMar>
                    <w:top w:w="15" w:type="dxa"/>
                    <w:left w:w="57" w:type="dxa"/>
                    <w:bottom w:w="15" w:type="dxa"/>
                    <w:right w:w="57" w:type="dxa"/>
                  </w:tcMar>
                  <w:vAlign w:val="center"/>
                </w:tcPr>
                <w:p>
                  <w:pPr>
                    <w:pStyle w:val="66"/>
                  </w:pPr>
                  <w:r>
                    <w:rPr>
                      <w:rFonts w:hint="eastAsia"/>
                    </w:rPr>
                    <w:t>肿瘤标志物</w:t>
                  </w:r>
                </w:p>
                <w:p>
                  <w:pPr>
                    <w:pStyle w:val="66"/>
                  </w:pPr>
                  <w:r>
                    <w:rPr>
                      <w:rFonts w:hint="eastAsia"/>
                    </w:rPr>
                    <w:t>检测</w:t>
                  </w:r>
                </w:p>
              </w:tc>
              <w:tc>
                <w:tcPr>
                  <w:tcW w:w="912" w:type="pct"/>
                  <w:tcBorders>
                    <w:bottom w:val="single" w:color="auto" w:sz="4" w:space="0"/>
                  </w:tcBorders>
                  <w:noWrap/>
                  <w:tcMar>
                    <w:top w:w="15" w:type="dxa"/>
                    <w:left w:w="57" w:type="dxa"/>
                    <w:bottom w:w="15" w:type="dxa"/>
                    <w:right w:w="57" w:type="dxa"/>
                  </w:tcMar>
                  <w:vAlign w:val="center"/>
                </w:tcPr>
                <w:p>
                  <w:pPr>
                    <w:pStyle w:val="66"/>
                  </w:pPr>
                  <w:r>
                    <w:rPr>
                      <w:rFonts w:hint="eastAsia"/>
                      <w:lang w:val="en-US" w:eastAsia="zh-CN"/>
                    </w:rPr>
                    <w:t>肿瘤蛋白检测试剂盒</w:t>
                  </w:r>
                </w:p>
              </w:tc>
              <w:tc>
                <w:tcPr>
                  <w:tcW w:w="750" w:type="pct"/>
                  <w:tcBorders>
                    <w:bottom w:val="single" w:color="auto" w:sz="4" w:space="0"/>
                  </w:tcBorders>
                  <w:noWrap/>
                  <w:tcMar>
                    <w:top w:w="15" w:type="dxa"/>
                    <w:left w:w="57" w:type="dxa"/>
                    <w:bottom w:w="15" w:type="dxa"/>
                    <w:right w:w="57" w:type="dxa"/>
                  </w:tcMar>
                  <w:vAlign w:val="center"/>
                </w:tcPr>
                <w:p>
                  <w:pPr>
                    <w:pStyle w:val="66"/>
                  </w:pPr>
                  <w:r>
                    <w:rPr>
                      <w:rFonts w:hint="eastAsia"/>
                    </w:rPr>
                    <w:t>抗原、抗体溶液</w:t>
                  </w:r>
                </w:p>
              </w:tc>
              <w:tc>
                <w:tcPr>
                  <w:tcW w:w="829" w:type="pct"/>
                  <w:tcBorders>
                    <w:bottom w:val="single" w:color="auto" w:sz="4" w:space="0"/>
                  </w:tcBorders>
                  <w:noWrap/>
                  <w:tcMar>
                    <w:top w:w="15" w:type="dxa"/>
                    <w:left w:w="57" w:type="dxa"/>
                    <w:bottom w:w="15" w:type="dxa"/>
                    <w:right w:w="57" w:type="dxa"/>
                  </w:tcMar>
                  <w:vAlign w:val="center"/>
                </w:tcPr>
                <w:p>
                  <w:pPr>
                    <w:pStyle w:val="66"/>
                  </w:pPr>
                  <w:r>
                    <w:rPr>
                      <w:rFonts w:hint="eastAsia"/>
                    </w:rPr>
                    <w:t>100测试/盒</w:t>
                  </w:r>
                </w:p>
              </w:tc>
              <w:tc>
                <w:tcPr>
                  <w:tcW w:w="658" w:type="pct"/>
                  <w:tcBorders>
                    <w:bottom w:val="single" w:color="auto" w:sz="4" w:space="0"/>
                  </w:tcBorders>
                  <w:noWrap/>
                  <w:tcMar>
                    <w:top w:w="15" w:type="dxa"/>
                    <w:left w:w="57" w:type="dxa"/>
                    <w:bottom w:w="15" w:type="dxa"/>
                    <w:right w:w="57" w:type="dxa"/>
                  </w:tcMar>
                  <w:vAlign w:val="center"/>
                </w:tcPr>
                <w:p>
                  <w:pPr>
                    <w:pStyle w:val="66"/>
                  </w:pPr>
                  <w:r>
                    <w:t>2</w:t>
                  </w:r>
                  <w:r>
                    <w:rPr>
                      <w:rFonts w:hint="eastAsia"/>
                    </w:rPr>
                    <w:t>00盒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9" w:hRule="atLeast"/>
                <w:jc w:val="center"/>
              </w:trPr>
              <w:tc>
                <w:tcPr>
                  <w:tcW w:w="218" w:type="pct"/>
                  <w:vMerge w:val="continue"/>
                  <w:noWrap/>
                  <w:tcMar>
                    <w:top w:w="15" w:type="dxa"/>
                    <w:left w:w="57" w:type="dxa"/>
                    <w:bottom w:w="15" w:type="dxa"/>
                    <w:right w:w="57" w:type="dxa"/>
                  </w:tcMar>
                  <w:vAlign w:val="center"/>
                </w:tcPr>
                <w:p>
                  <w:pPr>
                    <w:pStyle w:val="66"/>
                  </w:pPr>
                </w:p>
              </w:tc>
              <w:tc>
                <w:tcPr>
                  <w:tcW w:w="495" w:type="pct"/>
                  <w:vMerge w:val="continue"/>
                  <w:noWrap/>
                  <w:tcMar>
                    <w:top w:w="15" w:type="dxa"/>
                    <w:left w:w="57" w:type="dxa"/>
                    <w:bottom w:w="15" w:type="dxa"/>
                    <w:right w:w="57" w:type="dxa"/>
                  </w:tcMar>
                  <w:vAlign w:val="center"/>
                </w:tcPr>
                <w:p>
                  <w:pPr>
                    <w:pStyle w:val="66"/>
                  </w:pPr>
                </w:p>
              </w:tc>
              <w:tc>
                <w:tcPr>
                  <w:tcW w:w="1138" w:type="pct"/>
                  <w:gridSpan w:val="2"/>
                  <w:vMerge w:val="continue"/>
                  <w:noWrap/>
                  <w:tcMar>
                    <w:top w:w="15" w:type="dxa"/>
                    <w:left w:w="57" w:type="dxa"/>
                    <w:bottom w:w="15" w:type="dxa"/>
                    <w:right w:w="57" w:type="dxa"/>
                  </w:tcMar>
                  <w:vAlign w:val="center"/>
                </w:tcPr>
                <w:p>
                  <w:pPr>
                    <w:pStyle w:val="66"/>
                  </w:pPr>
                </w:p>
              </w:tc>
              <w:tc>
                <w:tcPr>
                  <w:tcW w:w="912" w:type="pct"/>
                  <w:tcBorders>
                    <w:top w:val="single" w:color="auto" w:sz="4" w:space="0"/>
                  </w:tcBorders>
                  <w:noWrap/>
                  <w:tcMar>
                    <w:top w:w="15" w:type="dxa"/>
                    <w:left w:w="57" w:type="dxa"/>
                    <w:bottom w:w="15" w:type="dxa"/>
                    <w:right w:w="57" w:type="dxa"/>
                  </w:tcMar>
                  <w:vAlign w:val="center"/>
                </w:tcPr>
                <w:p>
                  <w:pPr>
                    <w:pStyle w:val="66"/>
                  </w:pPr>
                  <w:r>
                    <w:rPr>
                      <w:rFonts w:hint="eastAsia"/>
                    </w:rPr>
                    <w:t>肿瘤标志物</w:t>
                  </w:r>
                </w:p>
                <w:p>
                  <w:pPr>
                    <w:pStyle w:val="66"/>
                    <w:rPr>
                      <w:lang w:val="en-US" w:eastAsia="zh-CN"/>
                    </w:rPr>
                  </w:pPr>
                  <w:r>
                    <w:rPr>
                      <w:rFonts w:hint="eastAsia"/>
                    </w:rPr>
                    <w:t>检测</w:t>
                  </w:r>
                  <w:r>
                    <w:rPr>
                      <w:rFonts w:hint="eastAsia"/>
                      <w:lang w:val="en-US" w:eastAsia="zh-CN"/>
                    </w:rPr>
                    <w:t>样本</w:t>
                  </w:r>
                </w:p>
              </w:tc>
              <w:tc>
                <w:tcPr>
                  <w:tcW w:w="750"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829"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lang w:val="en-US" w:eastAsia="zh-CN"/>
                    </w:rPr>
                    <w:t>/</w:t>
                  </w:r>
                </w:p>
              </w:tc>
              <w:tc>
                <w:tcPr>
                  <w:tcW w:w="658" w:type="pct"/>
                  <w:tcBorders>
                    <w:top w:val="single" w:color="auto" w:sz="4" w:space="0"/>
                  </w:tcBorders>
                  <w:noWrap/>
                  <w:tcMar>
                    <w:top w:w="15" w:type="dxa"/>
                    <w:left w:w="57" w:type="dxa"/>
                    <w:bottom w:w="15" w:type="dxa"/>
                    <w:right w:w="57" w:type="dxa"/>
                  </w:tcMar>
                  <w:vAlign w:val="center"/>
                </w:tcPr>
                <w:p>
                  <w:pPr>
                    <w:pStyle w:val="66"/>
                    <w:rPr>
                      <w:lang w:val="en-US" w:eastAsia="zh-CN"/>
                    </w:rPr>
                  </w:pPr>
                  <w:r>
                    <w:rPr>
                      <w:lang w:val="en-US" w:eastAsia="zh-CN"/>
                    </w:rPr>
                    <w:t>2</w:t>
                  </w:r>
                  <w:r>
                    <w:rPr>
                      <w:rFonts w:hint="eastAsia"/>
                      <w:lang w:val="en-US" w:eastAsia="zh-CN"/>
                    </w:rPr>
                    <w:t>0000份</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9" w:hRule="atLeast"/>
                <w:jc w:val="center"/>
              </w:trPr>
              <w:tc>
                <w:tcPr>
                  <w:tcW w:w="218" w:type="pct"/>
                  <w:noWrap/>
                  <w:tcMar>
                    <w:top w:w="15" w:type="dxa"/>
                    <w:left w:w="57" w:type="dxa"/>
                    <w:bottom w:w="15" w:type="dxa"/>
                    <w:right w:w="57" w:type="dxa"/>
                  </w:tcMar>
                  <w:vAlign w:val="center"/>
                </w:tcPr>
                <w:p>
                  <w:pPr>
                    <w:pStyle w:val="66"/>
                    <w:rPr>
                      <w:lang w:eastAsia="zh-CN"/>
                    </w:rPr>
                  </w:pPr>
                  <w:r>
                    <w:rPr>
                      <w:rFonts w:hint="eastAsia"/>
                      <w:lang w:eastAsia="zh-CN"/>
                    </w:rPr>
                    <w:t>5</w:t>
                  </w:r>
                </w:p>
              </w:tc>
              <w:tc>
                <w:tcPr>
                  <w:tcW w:w="495" w:type="pct"/>
                  <w:noWrap/>
                  <w:tcMar>
                    <w:top w:w="15" w:type="dxa"/>
                    <w:left w:w="57" w:type="dxa"/>
                    <w:bottom w:w="15" w:type="dxa"/>
                    <w:right w:w="57" w:type="dxa"/>
                  </w:tcMar>
                  <w:vAlign w:val="center"/>
                </w:tcPr>
                <w:p>
                  <w:pPr>
                    <w:pStyle w:val="66"/>
                  </w:pPr>
                  <w:r>
                    <w:rPr>
                      <w:rFonts w:hint="eastAsia"/>
                      <w:lang w:eastAsia="zh-CN"/>
                    </w:rPr>
                    <w:t>临床微生物检验</w:t>
                  </w:r>
                </w:p>
              </w:tc>
              <w:tc>
                <w:tcPr>
                  <w:tcW w:w="1138" w:type="pct"/>
                  <w:gridSpan w:val="2"/>
                  <w:noWrap/>
                  <w:tcMar>
                    <w:top w:w="15" w:type="dxa"/>
                    <w:left w:w="57" w:type="dxa"/>
                    <w:bottom w:w="15" w:type="dxa"/>
                    <w:right w:w="57" w:type="dxa"/>
                  </w:tcMar>
                  <w:vAlign w:val="center"/>
                </w:tcPr>
                <w:p>
                  <w:pPr>
                    <w:pStyle w:val="66"/>
                    <w:rPr>
                      <w:lang w:eastAsia="zh-CN"/>
                    </w:rPr>
                  </w:pPr>
                  <w:r>
                    <w:rPr>
                      <w:rFonts w:hint="eastAsia"/>
                      <w:lang w:eastAsia="zh-CN"/>
                    </w:rPr>
                    <w:t>微生物检测</w:t>
                  </w:r>
                </w:p>
              </w:tc>
              <w:tc>
                <w:tcPr>
                  <w:tcW w:w="912" w:type="pct"/>
                  <w:tcBorders>
                    <w:top w:val="single" w:color="auto" w:sz="4" w:space="0"/>
                  </w:tcBorders>
                  <w:noWrap/>
                  <w:tcMar>
                    <w:top w:w="15" w:type="dxa"/>
                    <w:left w:w="57" w:type="dxa"/>
                    <w:bottom w:w="15" w:type="dxa"/>
                    <w:right w:w="57" w:type="dxa"/>
                  </w:tcMar>
                  <w:vAlign w:val="center"/>
                </w:tcPr>
                <w:p>
                  <w:pPr>
                    <w:pStyle w:val="66"/>
                  </w:pPr>
                  <w:r>
                    <w:rPr>
                      <w:rFonts w:hint="eastAsia"/>
                      <w:lang w:eastAsia="zh-CN"/>
                    </w:rPr>
                    <w:t>微生物试剂盒</w:t>
                  </w:r>
                </w:p>
              </w:tc>
              <w:tc>
                <w:tcPr>
                  <w:tcW w:w="750"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rPr>
                    <w:t>抗原、抗体溶液</w:t>
                  </w:r>
                </w:p>
              </w:tc>
              <w:tc>
                <w:tcPr>
                  <w:tcW w:w="829" w:type="pct"/>
                  <w:tcBorders>
                    <w:top w:val="single" w:color="auto" w:sz="4" w:space="0"/>
                  </w:tcBorders>
                  <w:noWrap/>
                  <w:tcMar>
                    <w:top w:w="15" w:type="dxa"/>
                    <w:left w:w="57" w:type="dxa"/>
                    <w:bottom w:w="15" w:type="dxa"/>
                    <w:right w:w="57" w:type="dxa"/>
                  </w:tcMar>
                  <w:vAlign w:val="center"/>
                </w:tcPr>
                <w:p>
                  <w:pPr>
                    <w:pStyle w:val="66"/>
                    <w:rPr>
                      <w:lang w:val="en-US" w:eastAsia="zh-CN"/>
                    </w:rPr>
                  </w:pPr>
                  <w:r>
                    <w:rPr>
                      <w:rFonts w:hint="eastAsia"/>
                    </w:rPr>
                    <w:t>100测试/盒</w:t>
                  </w:r>
                </w:p>
              </w:tc>
              <w:tc>
                <w:tcPr>
                  <w:tcW w:w="658" w:type="pct"/>
                  <w:tcBorders>
                    <w:top w:val="single" w:color="auto" w:sz="4" w:space="0"/>
                  </w:tcBorders>
                  <w:noWrap/>
                  <w:tcMar>
                    <w:top w:w="15" w:type="dxa"/>
                    <w:left w:w="57" w:type="dxa"/>
                    <w:bottom w:w="15" w:type="dxa"/>
                    <w:right w:w="57" w:type="dxa"/>
                  </w:tcMar>
                  <w:vAlign w:val="center"/>
                </w:tcPr>
                <w:p>
                  <w:pPr>
                    <w:pStyle w:val="66"/>
                    <w:rPr>
                      <w:lang w:val="en-US" w:eastAsia="zh-CN"/>
                    </w:rPr>
                  </w:pPr>
                  <w:r>
                    <w:t>2</w:t>
                  </w:r>
                  <w:r>
                    <w:rPr>
                      <w:rFonts w:hint="eastAsia"/>
                    </w:rPr>
                    <w:t>00盒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27" w:hRule="atLeast"/>
                <w:jc w:val="center"/>
              </w:trPr>
              <w:tc>
                <w:tcPr>
                  <w:tcW w:w="4342" w:type="pct"/>
                  <w:gridSpan w:val="7"/>
                  <w:noWrap/>
                  <w:tcMar>
                    <w:top w:w="15" w:type="dxa"/>
                    <w:left w:w="57" w:type="dxa"/>
                    <w:bottom w:w="15" w:type="dxa"/>
                    <w:right w:w="57" w:type="dxa"/>
                  </w:tcMar>
                  <w:vAlign w:val="center"/>
                </w:tcPr>
                <w:p>
                  <w:pPr>
                    <w:pStyle w:val="66"/>
                  </w:pPr>
                  <w:r>
                    <w:rPr>
                      <w:rFonts w:hint="eastAsia"/>
                    </w:rPr>
                    <w:t>合计</w:t>
                  </w:r>
                </w:p>
              </w:tc>
              <w:tc>
                <w:tcPr>
                  <w:tcW w:w="658" w:type="pct"/>
                  <w:noWrap/>
                  <w:tcMar>
                    <w:top w:w="15" w:type="dxa"/>
                    <w:left w:w="57" w:type="dxa"/>
                    <w:bottom w:w="15" w:type="dxa"/>
                    <w:right w:w="57" w:type="dxa"/>
                  </w:tcMar>
                  <w:vAlign w:val="center"/>
                </w:tcPr>
                <w:p>
                  <w:pPr>
                    <w:pStyle w:val="66"/>
                  </w:pPr>
                  <w:r>
                    <w:rPr>
                      <w:rFonts w:hint="eastAsia"/>
                      <w:lang w:eastAsia="zh-CN"/>
                    </w:rPr>
                    <w:t>3</w:t>
                  </w:r>
                  <w:r>
                    <w:rPr>
                      <w:lang w:eastAsia="zh-CN"/>
                    </w:rPr>
                    <w:t>01100</w:t>
                  </w:r>
                  <w:r>
                    <w:rPr>
                      <w:rFonts w:hint="eastAsia"/>
                    </w:rPr>
                    <w:t>盒</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76" w:hRule="atLeast"/>
                <w:jc w:val="center"/>
              </w:trPr>
              <w:tc>
                <w:tcPr>
                  <w:tcW w:w="5000" w:type="pct"/>
                  <w:gridSpan w:val="8"/>
                  <w:noWrap/>
                  <w:tcMar>
                    <w:top w:w="15" w:type="dxa"/>
                    <w:left w:w="57" w:type="dxa"/>
                    <w:bottom w:w="15" w:type="dxa"/>
                    <w:right w:w="57" w:type="dxa"/>
                  </w:tcMar>
                  <w:vAlign w:val="center"/>
                </w:tcPr>
                <w:p>
                  <w:pPr>
                    <w:pStyle w:val="66"/>
                    <w:jc w:val="left"/>
                  </w:pPr>
                  <w:r>
                    <w:rPr>
                      <w:rFonts w:hint="eastAsia"/>
                    </w:rPr>
                    <w:t>注：根据</w:t>
                  </w:r>
                  <w:r>
                    <w:rPr>
                      <w:rFonts w:hint="eastAsia"/>
                      <w:lang w:val="en-US" w:eastAsia="zh-CN"/>
                    </w:rPr>
                    <w:t>建设单位</w:t>
                  </w:r>
                  <w:r>
                    <w:rPr>
                      <w:rFonts w:hint="eastAsia"/>
                    </w:rPr>
                    <w:t>提供的试剂盒资料，本实验室在检测实验中大部分的试剂是使用成品试剂盒，试剂盒的主要成分为一些盐溶液、酶、抗原、抗体溶液，</w:t>
                  </w:r>
                  <w:r>
                    <w:rPr>
                      <w:rFonts w:hint="eastAsia"/>
                      <w:lang w:eastAsia="zh-CN"/>
                    </w:rPr>
                    <w:t>挥发性组分含量较少，不含重金属物质</w:t>
                  </w:r>
                  <w:r>
                    <w:rPr>
                      <w:rFonts w:hint="eastAsia"/>
                    </w:rPr>
                    <w:t>。</w:t>
                  </w:r>
                </w:p>
              </w:tc>
            </w:tr>
          </w:tbl>
          <w:p>
            <w:pPr>
              <w:pStyle w:val="55"/>
              <w:rPr>
                <w:lang w:val="en-US"/>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rPr>
                <w:rFonts w:hint="eastAsia"/>
              </w:rPr>
              <w:t>本项目耗材及共用试剂一览表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709"/>
              <w:gridCol w:w="1391"/>
              <w:gridCol w:w="1391"/>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69" w:type="pct"/>
                  <w:vAlign w:val="center"/>
                </w:tcPr>
                <w:p>
                  <w:pPr>
                    <w:pStyle w:val="56"/>
                  </w:pPr>
                  <w:r>
                    <w:rPr>
                      <w:rFonts w:hint="eastAsia"/>
                      <w:lang w:eastAsia="zh-CN"/>
                    </w:rPr>
                    <w:t>序号</w:t>
                  </w:r>
                </w:p>
              </w:tc>
              <w:tc>
                <w:tcPr>
                  <w:tcW w:w="1229" w:type="pct"/>
                  <w:vAlign w:val="center"/>
                </w:tcPr>
                <w:p>
                  <w:pPr>
                    <w:pStyle w:val="56"/>
                  </w:pPr>
                  <w:r>
                    <w:rPr>
                      <w:rFonts w:hint="eastAsia"/>
                      <w:lang w:eastAsia="zh-CN"/>
                    </w:rPr>
                    <w:t>名称</w:t>
                  </w:r>
                </w:p>
              </w:tc>
              <w:tc>
                <w:tcPr>
                  <w:tcW w:w="1000" w:type="pct"/>
                  <w:vAlign w:val="center"/>
                </w:tcPr>
                <w:p>
                  <w:pPr>
                    <w:pStyle w:val="56"/>
                    <w:rPr>
                      <w:lang w:eastAsia="zh-CN"/>
                    </w:rPr>
                  </w:pPr>
                  <w:r>
                    <w:rPr>
                      <w:rFonts w:hint="eastAsia"/>
                      <w:lang w:eastAsia="zh-CN"/>
                    </w:rPr>
                    <w:t>规格</w:t>
                  </w:r>
                </w:p>
              </w:tc>
              <w:tc>
                <w:tcPr>
                  <w:tcW w:w="1000" w:type="pct"/>
                  <w:vAlign w:val="center"/>
                </w:tcPr>
                <w:p>
                  <w:pPr>
                    <w:pStyle w:val="56"/>
                  </w:pPr>
                  <w:r>
                    <w:rPr>
                      <w:rFonts w:hint="eastAsia"/>
                      <w:lang w:eastAsia="zh-CN"/>
                    </w:rPr>
                    <w:t>年用量</w:t>
                  </w:r>
                </w:p>
              </w:tc>
              <w:tc>
                <w:tcPr>
                  <w:tcW w:w="1002" w:type="pct"/>
                  <w:vAlign w:val="center"/>
                </w:tcPr>
                <w:p>
                  <w:pPr>
                    <w:pStyle w:val="56"/>
                    <w:rPr>
                      <w:lang w:eastAsia="zh-CN"/>
                    </w:rPr>
                  </w:pPr>
                  <w:r>
                    <w:rPr>
                      <w:rFonts w:hint="eastAsia"/>
                      <w:lang w:eastAsia="zh-CN"/>
                    </w:rPr>
                    <w:t>最大储存量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1</w:t>
                  </w:r>
                </w:p>
              </w:tc>
              <w:tc>
                <w:tcPr>
                  <w:tcW w:w="1229" w:type="pct"/>
                  <w:vAlign w:val="center"/>
                </w:tcPr>
                <w:p>
                  <w:pPr>
                    <w:pStyle w:val="56"/>
                  </w:pPr>
                  <w:r>
                    <w:rPr>
                      <w:rFonts w:hint="eastAsia"/>
                      <w:lang w:eastAsia="zh-CN"/>
                    </w:rPr>
                    <w:t>9</w:t>
                  </w:r>
                  <w:r>
                    <w:rPr>
                      <w:lang w:eastAsia="zh-CN"/>
                    </w:rPr>
                    <w:t>5</w:t>
                  </w:r>
                  <w:r>
                    <w:rPr>
                      <w:rFonts w:hint="eastAsia"/>
                      <w:lang w:eastAsia="zh-CN"/>
                    </w:rPr>
                    <w:t>%乙醇</w:t>
                  </w:r>
                </w:p>
              </w:tc>
              <w:tc>
                <w:tcPr>
                  <w:tcW w:w="1000" w:type="pct"/>
                  <w:vAlign w:val="center"/>
                </w:tcPr>
                <w:p>
                  <w:pPr>
                    <w:pStyle w:val="56"/>
                    <w:rPr>
                      <w:lang w:eastAsia="zh-CN"/>
                    </w:rPr>
                  </w:pPr>
                  <w:r>
                    <w:rPr>
                      <w:rFonts w:hint="eastAsia"/>
                      <w:lang w:eastAsia="zh-CN"/>
                    </w:rPr>
                    <w:t>3</w:t>
                  </w:r>
                  <w:r>
                    <w:rPr>
                      <w:lang w:eastAsia="zh-CN"/>
                    </w:rPr>
                    <w:t>00</w:t>
                  </w:r>
                  <w:r>
                    <w:rPr>
                      <w:rFonts w:hint="eastAsia"/>
                      <w:lang w:eastAsia="zh-CN"/>
                    </w:rPr>
                    <w:t>mL</w:t>
                  </w:r>
                  <w:r>
                    <w:rPr>
                      <w:lang w:eastAsia="zh-CN"/>
                    </w:rPr>
                    <w:t>/</w:t>
                  </w:r>
                  <w:r>
                    <w:rPr>
                      <w:rFonts w:hint="eastAsia"/>
                      <w:lang w:eastAsia="zh-CN"/>
                    </w:rPr>
                    <w:t>瓶</w:t>
                  </w:r>
                </w:p>
              </w:tc>
              <w:tc>
                <w:tcPr>
                  <w:tcW w:w="1000" w:type="pct"/>
                  <w:vAlign w:val="center"/>
                </w:tcPr>
                <w:p>
                  <w:pPr>
                    <w:pStyle w:val="56"/>
                    <w:rPr>
                      <w:lang w:eastAsia="zh-CN"/>
                    </w:rPr>
                  </w:pPr>
                  <w:r>
                    <w:rPr>
                      <w:rFonts w:hint="eastAsia"/>
                      <w:lang w:eastAsia="zh-CN"/>
                    </w:rPr>
                    <w:t>5</w:t>
                  </w:r>
                  <w:r>
                    <w:rPr>
                      <w:lang w:eastAsia="zh-CN"/>
                    </w:rPr>
                    <w:t>0瓶</w:t>
                  </w:r>
                </w:p>
              </w:tc>
              <w:tc>
                <w:tcPr>
                  <w:tcW w:w="1002" w:type="pct"/>
                  <w:vAlign w:val="center"/>
                </w:tcPr>
                <w:p>
                  <w:pPr>
                    <w:pStyle w:val="56"/>
                    <w:rPr>
                      <w:lang w:eastAsia="zh-CN"/>
                    </w:rPr>
                  </w:pPr>
                  <w:r>
                    <w:rPr>
                      <w:rFonts w:hint="eastAsia"/>
                      <w:lang w:eastAsia="zh-CN"/>
                    </w:rPr>
                    <w:t>3</w:t>
                  </w:r>
                  <w:r>
                    <w:rPr>
                      <w:lang w:eastAsia="zh-CN"/>
                    </w:rPr>
                    <w:t>0</w:t>
                  </w:r>
                  <w:r>
                    <w:rPr>
                      <w:rFonts w:hint="eastAsia"/>
                      <w:lang w:eastAsia="zh-CN"/>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2</w:t>
                  </w:r>
                </w:p>
              </w:tc>
              <w:tc>
                <w:tcPr>
                  <w:tcW w:w="1229" w:type="pct"/>
                  <w:vAlign w:val="center"/>
                </w:tcPr>
                <w:p>
                  <w:pPr>
                    <w:pStyle w:val="56"/>
                  </w:pPr>
                  <w:r>
                    <w:rPr>
                      <w:rFonts w:hint="eastAsia"/>
                      <w:lang w:eastAsia="zh-CN"/>
                    </w:rPr>
                    <w:t>7</w:t>
                  </w:r>
                  <w:r>
                    <w:rPr>
                      <w:lang w:eastAsia="zh-CN"/>
                    </w:rPr>
                    <w:t>5</w:t>
                  </w:r>
                  <w:r>
                    <w:rPr>
                      <w:rFonts w:hint="eastAsia"/>
                      <w:lang w:eastAsia="zh-CN"/>
                    </w:rPr>
                    <w:t>%乙醇</w:t>
                  </w:r>
                </w:p>
              </w:tc>
              <w:tc>
                <w:tcPr>
                  <w:tcW w:w="1000" w:type="pct"/>
                  <w:vAlign w:val="center"/>
                </w:tcPr>
                <w:p>
                  <w:pPr>
                    <w:pStyle w:val="56"/>
                    <w:rPr>
                      <w:lang w:eastAsia="zh-CN"/>
                    </w:rPr>
                  </w:pPr>
                  <w:r>
                    <w:rPr>
                      <w:rFonts w:hint="eastAsia"/>
                      <w:lang w:eastAsia="zh-CN"/>
                    </w:rPr>
                    <w:t>3</w:t>
                  </w:r>
                  <w:r>
                    <w:rPr>
                      <w:lang w:eastAsia="zh-CN"/>
                    </w:rPr>
                    <w:t>00</w:t>
                  </w:r>
                  <w:r>
                    <w:rPr>
                      <w:rFonts w:hint="eastAsia"/>
                      <w:lang w:eastAsia="zh-CN"/>
                    </w:rPr>
                    <w:t>mL</w:t>
                  </w:r>
                  <w:r>
                    <w:rPr>
                      <w:lang w:eastAsia="zh-CN"/>
                    </w:rPr>
                    <w:t>/</w:t>
                  </w:r>
                  <w:r>
                    <w:rPr>
                      <w:rFonts w:hint="eastAsia"/>
                      <w:lang w:eastAsia="zh-CN"/>
                    </w:rPr>
                    <w:t>瓶</w:t>
                  </w:r>
                </w:p>
              </w:tc>
              <w:tc>
                <w:tcPr>
                  <w:tcW w:w="1000" w:type="pct"/>
                  <w:vAlign w:val="center"/>
                </w:tcPr>
                <w:p>
                  <w:pPr>
                    <w:pStyle w:val="56"/>
                    <w:rPr>
                      <w:lang w:eastAsia="zh-CN"/>
                    </w:rPr>
                  </w:pPr>
                  <w:r>
                    <w:rPr>
                      <w:rFonts w:hint="eastAsia"/>
                      <w:lang w:eastAsia="zh-CN"/>
                    </w:rPr>
                    <w:t>1</w:t>
                  </w:r>
                  <w:r>
                    <w:rPr>
                      <w:lang w:eastAsia="zh-CN"/>
                    </w:rPr>
                    <w:t>000瓶</w:t>
                  </w:r>
                </w:p>
              </w:tc>
              <w:tc>
                <w:tcPr>
                  <w:tcW w:w="1002" w:type="pct"/>
                  <w:vAlign w:val="center"/>
                </w:tcPr>
                <w:p>
                  <w:pPr>
                    <w:pStyle w:val="56"/>
                    <w:rPr>
                      <w:lang w:eastAsia="zh-CN"/>
                    </w:rPr>
                  </w:pPr>
                  <w:r>
                    <w:rPr>
                      <w:rFonts w:hint="eastAsia"/>
                      <w:lang w:eastAsia="zh-CN"/>
                    </w:rPr>
                    <w:t>3</w:t>
                  </w:r>
                  <w:r>
                    <w:rPr>
                      <w:lang w:eastAsia="zh-CN"/>
                    </w:rPr>
                    <w:t>00</w:t>
                  </w:r>
                  <w:r>
                    <w:rPr>
                      <w:rFonts w:hint="eastAsia"/>
                      <w:lang w:eastAsia="zh-CN"/>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3</w:t>
                  </w:r>
                </w:p>
              </w:tc>
              <w:tc>
                <w:tcPr>
                  <w:tcW w:w="1229" w:type="pct"/>
                  <w:vAlign w:val="center"/>
                </w:tcPr>
                <w:p>
                  <w:pPr>
                    <w:pStyle w:val="56"/>
                    <w:rPr>
                      <w:lang w:eastAsia="zh-CN"/>
                    </w:rPr>
                  </w:pPr>
                  <w:r>
                    <w:rPr>
                      <w:rFonts w:hint="eastAsia"/>
                      <w:lang w:eastAsia="zh-CN"/>
                    </w:rPr>
                    <w:t>氢氧化钠</w:t>
                  </w:r>
                </w:p>
              </w:tc>
              <w:tc>
                <w:tcPr>
                  <w:tcW w:w="1000" w:type="pct"/>
                  <w:vAlign w:val="center"/>
                </w:tcPr>
                <w:p>
                  <w:pPr>
                    <w:pStyle w:val="56"/>
                    <w:rPr>
                      <w:lang w:eastAsia="zh-CN"/>
                    </w:rPr>
                  </w:pPr>
                  <w:r>
                    <w:rPr>
                      <w:rFonts w:hint="eastAsia"/>
                    </w:rPr>
                    <w:t>500</w:t>
                  </w:r>
                  <w:r>
                    <w:rPr>
                      <w:rFonts w:hint="eastAsia"/>
                      <w:lang w:eastAsia="zh-CN"/>
                    </w:rPr>
                    <w:t>mL</w:t>
                  </w:r>
                  <w:r>
                    <w:rPr>
                      <w:rFonts w:hint="eastAsia"/>
                    </w:rPr>
                    <w:t>/瓶</w:t>
                  </w:r>
                </w:p>
              </w:tc>
              <w:tc>
                <w:tcPr>
                  <w:tcW w:w="1000" w:type="pct"/>
                  <w:vAlign w:val="center"/>
                </w:tcPr>
                <w:p>
                  <w:pPr>
                    <w:pStyle w:val="56"/>
                    <w:rPr>
                      <w:lang w:eastAsia="zh-CN"/>
                    </w:rPr>
                  </w:pPr>
                  <w:r>
                    <w:rPr>
                      <w:rFonts w:hint="eastAsia"/>
                    </w:rPr>
                    <w:t>20瓶</w:t>
                  </w:r>
                </w:p>
              </w:tc>
              <w:tc>
                <w:tcPr>
                  <w:tcW w:w="1002" w:type="pct"/>
                  <w:vAlign w:val="center"/>
                </w:tcPr>
                <w:p>
                  <w:pPr>
                    <w:pStyle w:val="56"/>
                    <w:rPr>
                      <w:lang w:eastAsia="zh-CN"/>
                    </w:rPr>
                  </w:pPr>
                  <w:r>
                    <w:rPr>
                      <w:rFonts w:hint="eastAsia"/>
                    </w:rPr>
                    <w:t>20瓶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p>
              </w:tc>
              <w:tc>
                <w:tcPr>
                  <w:tcW w:w="1229" w:type="pct"/>
                  <w:vAlign w:val="center"/>
                </w:tcPr>
                <w:p>
                  <w:pPr>
                    <w:pStyle w:val="56"/>
                    <w:rPr>
                      <w:lang w:eastAsia="zh-CN"/>
                    </w:rPr>
                  </w:pPr>
                  <w:r>
                    <w:rPr>
                      <w:rFonts w:hint="eastAsia"/>
                      <w:lang w:eastAsia="zh-CN"/>
                    </w:rPr>
                    <w:t>盐酸</w:t>
                  </w:r>
                </w:p>
              </w:tc>
              <w:tc>
                <w:tcPr>
                  <w:tcW w:w="1000" w:type="pct"/>
                  <w:vAlign w:val="center"/>
                </w:tcPr>
                <w:p>
                  <w:pPr>
                    <w:pStyle w:val="56"/>
                    <w:rPr>
                      <w:lang w:eastAsia="zh-CN"/>
                    </w:rPr>
                  </w:pPr>
                  <w:r>
                    <w:rPr>
                      <w:rFonts w:hint="eastAsia"/>
                      <w:lang w:eastAsia="zh-CN"/>
                    </w:rPr>
                    <w:t>3</w:t>
                  </w:r>
                  <w:r>
                    <w:rPr>
                      <w:lang w:eastAsia="zh-CN"/>
                    </w:rPr>
                    <w:t>00</w:t>
                  </w:r>
                  <w:r>
                    <w:rPr>
                      <w:rFonts w:hint="eastAsia"/>
                      <w:lang w:eastAsia="zh-CN"/>
                    </w:rPr>
                    <w:t>mL</w:t>
                  </w:r>
                  <w:r>
                    <w:rPr>
                      <w:lang w:eastAsia="zh-CN"/>
                    </w:rPr>
                    <w:t>/</w:t>
                  </w:r>
                  <w:r>
                    <w:rPr>
                      <w:rFonts w:hint="eastAsia"/>
                      <w:lang w:eastAsia="zh-CN"/>
                    </w:rPr>
                    <w:t>瓶</w:t>
                  </w:r>
                </w:p>
              </w:tc>
              <w:tc>
                <w:tcPr>
                  <w:tcW w:w="1000" w:type="pct"/>
                  <w:vAlign w:val="center"/>
                </w:tcPr>
                <w:p>
                  <w:pPr>
                    <w:pStyle w:val="56"/>
                    <w:rPr>
                      <w:lang w:eastAsia="zh-CN"/>
                    </w:rPr>
                  </w:pPr>
                  <w:r>
                    <w:rPr>
                      <w:rFonts w:hint="eastAsia"/>
                      <w:lang w:eastAsia="zh-CN"/>
                    </w:rPr>
                    <w:t>2</w:t>
                  </w:r>
                  <w:r>
                    <w:rPr>
                      <w:lang w:eastAsia="zh-CN"/>
                    </w:rPr>
                    <w:t>0</w:t>
                  </w:r>
                  <w:r>
                    <w:rPr>
                      <w:rFonts w:hint="eastAsia"/>
                    </w:rPr>
                    <w:t>瓶</w:t>
                  </w:r>
                </w:p>
              </w:tc>
              <w:tc>
                <w:tcPr>
                  <w:tcW w:w="1002" w:type="pct"/>
                  <w:vAlign w:val="center"/>
                </w:tcPr>
                <w:p>
                  <w:pPr>
                    <w:pStyle w:val="56"/>
                    <w:rPr>
                      <w:lang w:eastAsia="zh-CN"/>
                    </w:rPr>
                  </w:pPr>
                  <w:r>
                    <w:rPr>
                      <w:rFonts w:hint="eastAsia"/>
                      <w:lang w:eastAsia="zh-CN"/>
                    </w:rPr>
                    <w:t>2</w:t>
                  </w:r>
                  <w:r>
                    <w:rPr>
                      <w:lang w:eastAsia="zh-CN"/>
                    </w:rPr>
                    <w:t>0</w:t>
                  </w:r>
                  <w:r>
                    <w:rPr>
                      <w:rFonts w:hint="eastAsia"/>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4</w:t>
                  </w:r>
                </w:p>
              </w:tc>
              <w:tc>
                <w:tcPr>
                  <w:tcW w:w="1229" w:type="pct"/>
                  <w:vAlign w:val="center"/>
                </w:tcPr>
                <w:p>
                  <w:pPr>
                    <w:pStyle w:val="56"/>
                  </w:pPr>
                  <w:r>
                    <w:t>枪头</w:t>
                  </w:r>
                </w:p>
              </w:tc>
              <w:tc>
                <w:tcPr>
                  <w:tcW w:w="1000" w:type="pct"/>
                  <w:vAlign w:val="center"/>
                </w:tcPr>
                <w:p>
                  <w:pPr>
                    <w:pStyle w:val="56"/>
                    <w:rPr>
                      <w:lang w:eastAsia="zh-CN"/>
                    </w:rPr>
                  </w:pPr>
                  <w:r>
                    <w:rPr>
                      <w:rFonts w:hint="eastAsia"/>
                      <w:lang w:eastAsia="zh-CN"/>
                    </w:rPr>
                    <w:t>3</w:t>
                  </w:r>
                  <w:r>
                    <w:rPr>
                      <w:lang w:eastAsia="zh-CN"/>
                    </w:rPr>
                    <w:t>0</w:t>
                  </w:r>
                  <w:r>
                    <w:rPr>
                      <w:rFonts w:hint="eastAsia"/>
                      <w:lang w:eastAsia="zh-CN"/>
                    </w:rPr>
                    <w:t>个/盒</w:t>
                  </w:r>
                </w:p>
              </w:tc>
              <w:tc>
                <w:tcPr>
                  <w:tcW w:w="1000" w:type="pct"/>
                  <w:vAlign w:val="center"/>
                </w:tcPr>
                <w:p>
                  <w:pPr>
                    <w:pStyle w:val="56"/>
                    <w:rPr>
                      <w:lang w:eastAsia="zh-CN"/>
                    </w:rPr>
                  </w:pPr>
                  <w:r>
                    <w:rPr>
                      <w:rFonts w:hint="eastAsia"/>
                    </w:rPr>
                    <w:t>30000盒</w:t>
                  </w:r>
                </w:p>
              </w:tc>
              <w:tc>
                <w:tcPr>
                  <w:tcW w:w="1002" w:type="pct"/>
                  <w:vAlign w:val="center"/>
                </w:tcPr>
                <w:p>
                  <w:pPr>
                    <w:pStyle w:val="56"/>
                    <w:rPr>
                      <w:lang w:eastAsia="zh-CN"/>
                    </w:rPr>
                  </w:pPr>
                  <w:r>
                    <w:rPr>
                      <w:rFonts w:hint="eastAsia"/>
                      <w:lang w:eastAsia="zh-CN"/>
                    </w:rPr>
                    <w:t>1</w:t>
                  </w:r>
                  <w:r>
                    <w:rPr>
                      <w:lang w:eastAsia="zh-CN"/>
                    </w:rPr>
                    <w:t>0000盒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5</w:t>
                  </w:r>
                </w:p>
              </w:tc>
              <w:tc>
                <w:tcPr>
                  <w:tcW w:w="1229" w:type="pct"/>
                  <w:vAlign w:val="center"/>
                </w:tcPr>
                <w:p>
                  <w:pPr>
                    <w:pStyle w:val="56"/>
                    <w:rPr>
                      <w:lang w:eastAsia="zh-CN"/>
                    </w:rPr>
                  </w:pPr>
                  <w:r>
                    <w:t>离心管</w:t>
                  </w:r>
                </w:p>
              </w:tc>
              <w:tc>
                <w:tcPr>
                  <w:tcW w:w="1000" w:type="pct"/>
                  <w:vAlign w:val="center"/>
                </w:tcPr>
                <w:p>
                  <w:pPr>
                    <w:pStyle w:val="56"/>
                    <w:rPr>
                      <w:lang w:eastAsia="zh-CN"/>
                    </w:rPr>
                  </w:pPr>
                  <w:r>
                    <w:rPr>
                      <w:lang w:eastAsia="zh-CN"/>
                    </w:rPr>
                    <w:t>500</w:t>
                  </w:r>
                  <w:r>
                    <w:rPr>
                      <w:rFonts w:hint="eastAsia"/>
                      <w:lang w:eastAsia="zh-CN"/>
                    </w:rPr>
                    <w:t>只/盒</w:t>
                  </w:r>
                </w:p>
              </w:tc>
              <w:tc>
                <w:tcPr>
                  <w:tcW w:w="1000" w:type="pct"/>
                  <w:vAlign w:val="center"/>
                </w:tcPr>
                <w:p>
                  <w:pPr>
                    <w:pStyle w:val="56"/>
                  </w:pPr>
                  <w:r>
                    <w:rPr>
                      <w:rFonts w:hint="eastAsia"/>
                      <w:lang w:eastAsia="zh-CN"/>
                    </w:rPr>
                    <w:t>2</w:t>
                  </w:r>
                  <w:r>
                    <w:rPr>
                      <w:lang w:eastAsia="zh-CN"/>
                    </w:rPr>
                    <w:t>00盒</w:t>
                  </w:r>
                </w:p>
              </w:tc>
              <w:tc>
                <w:tcPr>
                  <w:tcW w:w="1002" w:type="pct"/>
                  <w:vAlign w:val="center"/>
                </w:tcPr>
                <w:p>
                  <w:pPr>
                    <w:pStyle w:val="56"/>
                    <w:rPr>
                      <w:lang w:eastAsia="zh-CN"/>
                    </w:rPr>
                  </w:pPr>
                  <w:r>
                    <w:rPr>
                      <w:rFonts w:hint="eastAsia"/>
                      <w:lang w:eastAsia="zh-CN"/>
                    </w:rPr>
                    <w:t>5</w:t>
                  </w:r>
                  <w:r>
                    <w:rPr>
                      <w:lang w:eastAsia="zh-CN"/>
                    </w:rPr>
                    <w:t>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lang w:eastAsia="zh-CN"/>
                    </w:rPr>
                    <w:t>6</w:t>
                  </w:r>
                </w:p>
              </w:tc>
              <w:tc>
                <w:tcPr>
                  <w:tcW w:w="1229" w:type="pct"/>
                  <w:vAlign w:val="center"/>
                </w:tcPr>
                <w:p>
                  <w:pPr>
                    <w:pStyle w:val="56"/>
                  </w:pPr>
                  <w:r>
                    <w:t>PCR管</w:t>
                  </w:r>
                </w:p>
              </w:tc>
              <w:tc>
                <w:tcPr>
                  <w:tcW w:w="1000" w:type="pct"/>
                  <w:vAlign w:val="center"/>
                </w:tcPr>
                <w:p>
                  <w:pPr>
                    <w:pStyle w:val="56"/>
                    <w:rPr>
                      <w:lang w:eastAsia="zh-CN"/>
                    </w:rPr>
                  </w:pPr>
                  <w:r>
                    <w:rPr>
                      <w:rFonts w:hint="eastAsia"/>
                      <w:lang w:eastAsia="zh-CN"/>
                    </w:rPr>
                    <w:t>1</w:t>
                  </w:r>
                  <w:r>
                    <w:rPr>
                      <w:lang w:eastAsia="zh-CN"/>
                    </w:rPr>
                    <w:t>00</w:t>
                  </w:r>
                  <w:r>
                    <w:rPr>
                      <w:rFonts w:hint="eastAsia"/>
                      <w:lang w:eastAsia="zh-CN"/>
                    </w:rPr>
                    <w:t>只/盒</w:t>
                  </w:r>
                </w:p>
              </w:tc>
              <w:tc>
                <w:tcPr>
                  <w:tcW w:w="1000" w:type="pct"/>
                  <w:vAlign w:val="center"/>
                </w:tcPr>
                <w:p>
                  <w:pPr>
                    <w:pStyle w:val="56"/>
                  </w:pPr>
                  <w:r>
                    <w:rPr>
                      <w:rFonts w:hint="eastAsia"/>
                      <w:lang w:eastAsia="zh-CN"/>
                    </w:rPr>
                    <w:t>3</w:t>
                  </w:r>
                  <w:r>
                    <w:rPr>
                      <w:lang w:eastAsia="zh-CN"/>
                    </w:rPr>
                    <w:t>000盒</w:t>
                  </w:r>
                </w:p>
              </w:tc>
              <w:tc>
                <w:tcPr>
                  <w:tcW w:w="1002" w:type="pct"/>
                  <w:vAlign w:val="center"/>
                </w:tcPr>
                <w:p>
                  <w:pPr>
                    <w:pStyle w:val="56"/>
                    <w:rPr>
                      <w:lang w:eastAsia="zh-CN"/>
                    </w:rPr>
                  </w:pPr>
                  <w:r>
                    <w:rPr>
                      <w:rFonts w:hint="eastAsia"/>
                      <w:lang w:eastAsia="zh-CN"/>
                    </w:rPr>
                    <w:t>1</w:t>
                  </w:r>
                  <w:r>
                    <w:rPr>
                      <w:lang w:eastAsia="zh-CN"/>
                    </w:rPr>
                    <w:t>000盒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7</w:t>
                  </w:r>
                </w:p>
              </w:tc>
              <w:tc>
                <w:tcPr>
                  <w:tcW w:w="1229" w:type="pct"/>
                  <w:vAlign w:val="center"/>
                </w:tcPr>
                <w:p>
                  <w:pPr>
                    <w:pStyle w:val="56"/>
                    <w:rPr>
                      <w:lang w:eastAsia="zh-CN"/>
                    </w:rPr>
                  </w:pPr>
                  <w:r>
                    <w:t>手套</w:t>
                  </w:r>
                </w:p>
              </w:tc>
              <w:tc>
                <w:tcPr>
                  <w:tcW w:w="1000" w:type="pct"/>
                  <w:vAlign w:val="center"/>
                </w:tcPr>
                <w:p>
                  <w:pPr>
                    <w:pStyle w:val="56"/>
                    <w:rPr>
                      <w:lang w:eastAsia="zh-CN"/>
                    </w:rPr>
                  </w:pPr>
                  <w:r>
                    <w:rPr>
                      <w:rFonts w:hint="eastAsia"/>
                      <w:lang w:eastAsia="zh-CN"/>
                    </w:rPr>
                    <w:t>1</w:t>
                  </w:r>
                  <w:r>
                    <w:rPr>
                      <w:lang w:eastAsia="zh-CN"/>
                    </w:rPr>
                    <w:t>00/</w:t>
                  </w:r>
                  <w:r>
                    <w:rPr>
                      <w:rFonts w:hint="eastAsia"/>
                      <w:lang w:eastAsia="zh-CN"/>
                    </w:rPr>
                    <w:t>盒</w:t>
                  </w:r>
                </w:p>
              </w:tc>
              <w:tc>
                <w:tcPr>
                  <w:tcW w:w="1000" w:type="pct"/>
                  <w:vAlign w:val="center"/>
                </w:tcPr>
                <w:p>
                  <w:pPr>
                    <w:pStyle w:val="56"/>
                  </w:pPr>
                  <w:r>
                    <w:rPr>
                      <w:rFonts w:hint="eastAsia"/>
                      <w:lang w:eastAsia="zh-CN"/>
                    </w:rPr>
                    <w:t>1</w:t>
                  </w:r>
                  <w:r>
                    <w:rPr>
                      <w:lang w:eastAsia="zh-CN"/>
                    </w:rPr>
                    <w:t>0000盒</w:t>
                  </w:r>
                </w:p>
              </w:tc>
              <w:tc>
                <w:tcPr>
                  <w:tcW w:w="1002" w:type="pct"/>
                  <w:vAlign w:val="center"/>
                </w:tcPr>
                <w:p>
                  <w:pPr>
                    <w:pStyle w:val="56"/>
                    <w:rPr>
                      <w:lang w:eastAsia="zh-CN"/>
                    </w:rPr>
                  </w:pPr>
                  <w:r>
                    <w:rPr>
                      <w:rFonts w:hint="eastAsia"/>
                      <w:lang w:eastAsia="zh-CN"/>
                    </w:rPr>
                    <w:t>3</w:t>
                  </w:r>
                  <w:r>
                    <w:rPr>
                      <w:lang w:eastAsia="zh-CN"/>
                    </w:rPr>
                    <w:t>000盒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8</w:t>
                  </w:r>
                </w:p>
              </w:tc>
              <w:tc>
                <w:tcPr>
                  <w:tcW w:w="1229" w:type="pct"/>
                  <w:vAlign w:val="center"/>
                </w:tcPr>
                <w:p>
                  <w:pPr>
                    <w:pStyle w:val="56"/>
                  </w:pPr>
                  <w:r>
                    <w:t>口罩</w:t>
                  </w:r>
                </w:p>
              </w:tc>
              <w:tc>
                <w:tcPr>
                  <w:tcW w:w="1000" w:type="pct"/>
                  <w:vAlign w:val="center"/>
                </w:tcPr>
                <w:p>
                  <w:pPr>
                    <w:pStyle w:val="56"/>
                    <w:rPr>
                      <w:lang w:eastAsia="zh-CN"/>
                    </w:rPr>
                  </w:pPr>
                  <w:r>
                    <w:rPr>
                      <w:rFonts w:hint="eastAsia"/>
                      <w:lang w:eastAsia="zh-CN"/>
                    </w:rPr>
                    <w:t>2</w:t>
                  </w:r>
                  <w:r>
                    <w:rPr>
                      <w:lang w:eastAsia="zh-CN"/>
                    </w:rPr>
                    <w:t>0</w:t>
                  </w:r>
                  <w:r>
                    <w:rPr>
                      <w:rFonts w:hint="eastAsia"/>
                      <w:lang w:eastAsia="zh-CN"/>
                    </w:rPr>
                    <w:t>个/盒</w:t>
                  </w:r>
                </w:p>
              </w:tc>
              <w:tc>
                <w:tcPr>
                  <w:tcW w:w="1000" w:type="pct"/>
                  <w:vAlign w:val="center"/>
                </w:tcPr>
                <w:p>
                  <w:pPr>
                    <w:pStyle w:val="56"/>
                  </w:pPr>
                  <w:r>
                    <w:rPr>
                      <w:rFonts w:hint="eastAsia"/>
                      <w:lang w:eastAsia="zh-CN"/>
                    </w:rPr>
                    <w:t>5</w:t>
                  </w:r>
                  <w:r>
                    <w:rPr>
                      <w:lang w:eastAsia="zh-CN"/>
                    </w:rPr>
                    <w:t>000盒</w:t>
                  </w:r>
                </w:p>
              </w:tc>
              <w:tc>
                <w:tcPr>
                  <w:tcW w:w="1002" w:type="pct"/>
                  <w:vAlign w:val="center"/>
                </w:tcPr>
                <w:p>
                  <w:pPr>
                    <w:pStyle w:val="56"/>
                    <w:rPr>
                      <w:lang w:eastAsia="zh-CN"/>
                    </w:rPr>
                  </w:pPr>
                  <w:r>
                    <w:rPr>
                      <w:rFonts w:hint="eastAsia"/>
                      <w:lang w:eastAsia="zh-CN"/>
                    </w:rPr>
                    <w:t>1</w:t>
                  </w:r>
                  <w:r>
                    <w:rPr>
                      <w:lang w:eastAsia="zh-CN"/>
                    </w:rPr>
                    <w:t>500盒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9</w:t>
                  </w:r>
                </w:p>
              </w:tc>
              <w:tc>
                <w:tcPr>
                  <w:tcW w:w="1229" w:type="pct"/>
                  <w:vAlign w:val="center"/>
                </w:tcPr>
                <w:p>
                  <w:pPr>
                    <w:pStyle w:val="56"/>
                  </w:pPr>
                  <w:r>
                    <w:t>帽子</w:t>
                  </w:r>
                </w:p>
              </w:tc>
              <w:tc>
                <w:tcPr>
                  <w:tcW w:w="1000" w:type="pct"/>
                  <w:vAlign w:val="center"/>
                </w:tcPr>
                <w:p>
                  <w:pPr>
                    <w:pStyle w:val="56"/>
                    <w:rPr>
                      <w:lang w:eastAsia="zh-CN"/>
                    </w:rPr>
                  </w:pPr>
                  <w:r>
                    <w:rPr>
                      <w:rFonts w:hint="eastAsia"/>
                      <w:lang w:eastAsia="zh-CN"/>
                    </w:rPr>
                    <w:t>2</w:t>
                  </w:r>
                  <w:r>
                    <w:rPr>
                      <w:lang w:eastAsia="zh-CN"/>
                    </w:rPr>
                    <w:t>0</w:t>
                  </w:r>
                  <w:r>
                    <w:rPr>
                      <w:rFonts w:hint="eastAsia"/>
                      <w:lang w:eastAsia="zh-CN"/>
                    </w:rPr>
                    <w:t>个/盒</w:t>
                  </w:r>
                </w:p>
              </w:tc>
              <w:tc>
                <w:tcPr>
                  <w:tcW w:w="1000" w:type="pct"/>
                  <w:vAlign w:val="center"/>
                </w:tcPr>
                <w:p>
                  <w:pPr>
                    <w:pStyle w:val="56"/>
                  </w:pPr>
                  <w:r>
                    <w:rPr>
                      <w:rFonts w:hint="eastAsia"/>
                      <w:lang w:eastAsia="zh-CN"/>
                    </w:rPr>
                    <w:t>5</w:t>
                  </w:r>
                  <w:r>
                    <w:rPr>
                      <w:lang w:eastAsia="zh-CN"/>
                    </w:rPr>
                    <w:t>000盒</w:t>
                  </w:r>
                </w:p>
              </w:tc>
              <w:tc>
                <w:tcPr>
                  <w:tcW w:w="1002" w:type="pct"/>
                  <w:vAlign w:val="center"/>
                </w:tcPr>
                <w:p>
                  <w:pPr>
                    <w:pStyle w:val="56"/>
                    <w:rPr>
                      <w:lang w:eastAsia="zh-CN"/>
                    </w:rPr>
                  </w:pPr>
                  <w:r>
                    <w:rPr>
                      <w:rFonts w:hint="eastAsia"/>
                      <w:lang w:eastAsia="zh-CN"/>
                    </w:rPr>
                    <w:t>1</w:t>
                  </w:r>
                  <w:r>
                    <w:rPr>
                      <w:lang w:eastAsia="zh-CN"/>
                    </w:rPr>
                    <w:t>500盒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1</w:t>
                  </w:r>
                  <w:r>
                    <w:rPr>
                      <w:lang w:eastAsia="zh-CN"/>
                    </w:rPr>
                    <w:t>0</w:t>
                  </w:r>
                </w:p>
              </w:tc>
              <w:tc>
                <w:tcPr>
                  <w:tcW w:w="1229" w:type="pct"/>
                  <w:vAlign w:val="center"/>
                </w:tcPr>
                <w:p>
                  <w:pPr>
                    <w:pStyle w:val="56"/>
                    <w:rPr>
                      <w:lang w:eastAsia="zh-CN"/>
                    </w:rPr>
                  </w:pPr>
                  <w:r>
                    <w:t>鞋套</w:t>
                  </w:r>
                </w:p>
              </w:tc>
              <w:tc>
                <w:tcPr>
                  <w:tcW w:w="1000" w:type="pct"/>
                  <w:vAlign w:val="center"/>
                </w:tcPr>
                <w:p>
                  <w:pPr>
                    <w:pStyle w:val="56"/>
                    <w:rPr>
                      <w:lang w:eastAsia="zh-CN"/>
                    </w:rPr>
                  </w:pPr>
                  <w:r>
                    <w:rPr>
                      <w:lang w:eastAsia="zh-CN"/>
                    </w:rPr>
                    <w:t>50</w:t>
                  </w:r>
                  <w:r>
                    <w:rPr>
                      <w:rFonts w:hint="eastAsia"/>
                      <w:lang w:eastAsia="zh-CN"/>
                    </w:rPr>
                    <w:t>个</w:t>
                  </w:r>
                  <w:r>
                    <w:rPr>
                      <w:lang w:eastAsia="zh-CN"/>
                    </w:rPr>
                    <w:t>/</w:t>
                  </w:r>
                  <w:r>
                    <w:rPr>
                      <w:rFonts w:hint="eastAsia"/>
                      <w:lang w:eastAsia="zh-CN"/>
                    </w:rPr>
                    <w:t>包</w:t>
                  </w:r>
                </w:p>
              </w:tc>
              <w:tc>
                <w:tcPr>
                  <w:tcW w:w="1000" w:type="pct"/>
                  <w:vAlign w:val="center"/>
                </w:tcPr>
                <w:p>
                  <w:pPr>
                    <w:pStyle w:val="56"/>
                    <w:rPr>
                      <w:lang w:eastAsia="zh-CN"/>
                    </w:rPr>
                  </w:pPr>
                  <w:r>
                    <w:rPr>
                      <w:rFonts w:hint="eastAsia"/>
                      <w:lang w:eastAsia="zh-CN"/>
                    </w:rPr>
                    <w:t>3</w:t>
                  </w:r>
                  <w:r>
                    <w:rPr>
                      <w:lang w:eastAsia="zh-CN"/>
                    </w:rPr>
                    <w:t>000包</w:t>
                  </w:r>
                </w:p>
              </w:tc>
              <w:tc>
                <w:tcPr>
                  <w:tcW w:w="1002" w:type="pct"/>
                  <w:vAlign w:val="center"/>
                </w:tcPr>
                <w:p>
                  <w:pPr>
                    <w:pStyle w:val="56"/>
                    <w:rPr>
                      <w:lang w:eastAsia="zh-CN"/>
                    </w:rPr>
                  </w:pPr>
                  <w:r>
                    <w:rPr>
                      <w:rFonts w:hint="eastAsia"/>
                      <w:lang w:eastAsia="zh-CN"/>
                    </w:rPr>
                    <w:t>1</w:t>
                  </w:r>
                  <w:r>
                    <w:rPr>
                      <w:lang w:eastAsia="zh-CN"/>
                    </w:rPr>
                    <w:t>00包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1</w:t>
                  </w:r>
                  <w:r>
                    <w:rPr>
                      <w:lang w:eastAsia="zh-CN"/>
                    </w:rPr>
                    <w:t>1</w:t>
                  </w:r>
                </w:p>
              </w:tc>
              <w:tc>
                <w:tcPr>
                  <w:tcW w:w="1229" w:type="pct"/>
                  <w:vAlign w:val="center"/>
                </w:tcPr>
                <w:p>
                  <w:pPr>
                    <w:pStyle w:val="56"/>
                    <w:rPr>
                      <w:lang w:eastAsia="zh-CN"/>
                    </w:rPr>
                  </w:pPr>
                  <w:r>
                    <w:t>防护服</w:t>
                  </w:r>
                </w:p>
              </w:tc>
              <w:tc>
                <w:tcPr>
                  <w:tcW w:w="1000" w:type="pct"/>
                  <w:vAlign w:val="center"/>
                </w:tcPr>
                <w:p>
                  <w:pPr>
                    <w:pStyle w:val="56"/>
                    <w:rPr>
                      <w:lang w:eastAsia="zh-CN"/>
                    </w:rPr>
                  </w:pPr>
                  <w:r>
                    <w:rPr>
                      <w:rFonts w:hint="eastAsia"/>
                      <w:lang w:eastAsia="zh-CN"/>
                    </w:rPr>
                    <w:t>/</w:t>
                  </w:r>
                </w:p>
              </w:tc>
              <w:tc>
                <w:tcPr>
                  <w:tcW w:w="1000" w:type="pct"/>
                  <w:vAlign w:val="center"/>
                </w:tcPr>
                <w:p>
                  <w:pPr>
                    <w:pStyle w:val="56"/>
                    <w:rPr>
                      <w:lang w:eastAsia="zh-CN"/>
                    </w:rPr>
                  </w:pPr>
                  <w:r>
                    <w:rPr>
                      <w:rFonts w:hint="eastAsia"/>
                      <w:lang w:eastAsia="zh-CN"/>
                    </w:rPr>
                    <w:t>1</w:t>
                  </w:r>
                  <w:r>
                    <w:rPr>
                      <w:lang w:eastAsia="zh-CN"/>
                    </w:rPr>
                    <w:t>0000套</w:t>
                  </w:r>
                </w:p>
              </w:tc>
              <w:tc>
                <w:tcPr>
                  <w:tcW w:w="1002" w:type="pct"/>
                  <w:vAlign w:val="center"/>
                </w:tcPr>
                <w:p>
                  <w:pPr>
                    <w:pStyle w:val="56"/>
                  </w:pPr>
                  <w:r>
                    <w:rPr>
                      <w:rFonts w:hint="eastAsia"/>
                      <w:lang w:eastAsia="zh-CN"/>
                    </w:rPr>
                    <w:t>3</w:t>
                  </w:r>
                  <w:r>
                    <w:rPr>
                      <w:lang w:eastAsia="zh-CN"/>
                    </w:rPr>
                    <w:t>000件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1</w:t>
                  </w:r>
                  <w:r>
                    <w:rPr>
                      <w:lang w:eastAsia="zh-CN"/>
                    </w:rPr>
                    <w:t>2</w:t>
                  </w:r>
                </w:p>
              </w:tc>
              <w:tc>
                <w:tcPr>
                  <w:tcW w:w="1229" w:type="pct"/>
                  <w:vAlign w:val="center"/>
                </w:tcPr>
                <w:p>
                  <w:pPr>
                    <w:pStyle w:val="56"/>
                    <w:rPr>
                      <w:lang w:eastAsia="zh-CN"/>
                    </w:rPr>
                  </w:pPr>
                  <w:r>
                    <w:t>隔离衣</w:t>
                  </w:r>
                </w:p>
              </w:tc>
              <w:tc>
                <w:tcPr>
                  <w:tcW w:w="1000" w:type="pct"/>
                  <w:vAlign w:val="center"/>
                </w:tcPr>
                <w:p>
                  <w:pPr>
                    <w:pStyle w:val="56"/>
                    <w:rPr>
                      <w:lang w:eastAsia="zh-CN"/>
                    </w:rPr>
                  </w:pPr>
                  <w:r>
                    <w:rPr>
                      <w:rFonts w:hint="eastAsia"/>
                      <w:lang w:eastAsia="zh-CN"/>
                    </w:rPr>
                    <w:t>/</w:t>
                  </w:r>
                </w:p>
              </w:tc>
              <w:tc>
                <w:tcPr>
                  <w:tcW w:w="1000" w:type="pct"/>
                  <w:vAlign w:val="center"/>
                </w:tcPr>
                <w:p>
                  <w:pPr>
                    <w:pStyle w:val="56"/>
                    <w:rPr>
                      <w:lang w:eastAsia="zh-CN"/>
                    </w:rPr>
                  </w:pPr>
                  <w:r>
                    <w:rPr>
                      <w:rFonts w:hint="eastAsia"/>
                      <w:lang w:eastAsia="zh-CN"/>
                    </w:rPr>
                    <w:t>3</w:t>
                  </w:r>
                  <w:r>
                    <w:rPr>
                      <w:lang w:eastAsia="zh-CN"/>
                    </w:rPr>
                    <w:t>000件</w:t>
                  </w:r>
                </w:p>
              </w:tc>
              <w:tc>
                <w:tcPr>
                  <w:tcW w:w="1002" w:type="pct"/>
                  <w:vAlign w:val="center"/>
                </w:tcPr>
                <w:p>
                  <w:pPr>
                    <w:pStyle w:val="56"/>
                  </w:pPr>
                  <w:r>
                    <w:rPr>
                      <w:rFonts w:hint="eastAsia"/>
                      <w:lang w:eastAsia="zh-CN"/>
                    </w:rPr>
                    <w:t>1</w:t>
                  </w:r>
                  <w:r>
                    <w:rPr>
                      <w:lang w:eastAsia="zh-CN"/>
                    </w:rPr>
                    <w:t>000件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1</w:t>
                  </w:r>
                  <w:r>
                    <w:rPr>
                      <w:lang w:eastAsia="zh-CN"/>
                    </w:rPr>
                    <w:t>3</w:t>
                  </w:r>
                </w:p>
              </w:tc>
              <w:tc>
                <w:tcPr>
                  <w:tcW w:w="1229" w:type="pct"/>
                  <w:vAlign w:val="center"/>
                </w:tcPr>
                <w:p>
                  <w:pPr>
                    <w:pStyle w:val="56"/>
                    <w:rPr>
                      <w:lang w:eastAsia="zh-CN"/>
                    </w:rPr>
                  </w:pPr>
                  <w:r>
                    <w:t>消毒片</w:t>
                  </w:r>
                  <w:r>
                    <w:rPr>
                      <w:rFonts w:hint="eastAsia"/>
                      <w:lang w:eastAsia="zh-CN"/>
                    </w:rPr>
                    <w:t>（二氧化氯）</w:t>
                  </w:r>
                </w:p>
              </w:tc>
              <w:tc>
                <w:tcPr>
                  <w:tcW w:w="1000" w:type="pct"/>
                  <w:vAlign w:val="center"/>
                </w:tcPr>
                <w:p>
                  <w:pPr>
                    <w:pStyle w:val="56"/>
                    <w:rPr>
                      <w:lang w:eastAsia="zh-CN"/>
                    </w:rPr>
                  </w:pPr>
                  <w:r>
                    <w:rPr>
                      <w:lang w:eastAsia="zh-CN"/>
                    </w:rPr>
                    <w:t>2.5</w:t>
                  </w:r>
                  <w:r>
                    <w:rPr>
                      <w:rFonts w:hint="eastAsia"/>
                      <w:lang w:eastAsia="zh-CN"/>
                    </w:rPr>
                    <w:t>kg/瓶</w:t>
                  </w:r>
                </w:p>
              </w:tc>
              <w:tc>
                <w:tcPr>
                  <w:tcW w:w="1000" w:type="pct"/>
                  <w:vAlign w:val="center"/>
                </w:tcPr>
                <w:p>
                  <w:pPr>
                    <w:pStyle w:val="56"/>
                    <w:rPr>
                      <w:lang w:eastAsia="zh-CN"/>
                    </w:rPr>
                  </w:pPr>
                  <w:r>
                    <w:rPr>
                      <w:rFonts w:hint="eastAsia"/>
                      <w:lang w:eastAsia="zh-CN"/>
                    </w:rPr>
                    <w:t>5</w:t>
                  </w:r>
                  <w:r>
                    <w:rPr>
                      <w:lang w:eastAsia="zh-CN"/>
                    </w:rPr>
                    <w:t>00瓶</w:t>
                  </w:r>
                </w:p>
              </w:tc>
              <w:tc>
                <w:tcPr>
                  <w:tcW w:w="1002" w:type="pct"/>
                  <w:vAlign w:val="center"/>
                </w:tcPr>
                <w:p>
                  <w:pPr>
                    <w:pStyle w:val="56"/>
                  </w:pPr>
                  <w:r>
                    <w:rPr>
                      <w:lang w:eastAsia="zh-CN"/>
                    </w:rPr>
                    <w:t>100瓶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pStyle w:val="56"/>
                    <w:rPr>
                      <w:lang w:eastAsia="zh-CN"/>
                    </w:rPr>
                  </w:pPr>
                  <w:r>
                    <w:rPr>
                      <w:rFonts w:hint="eastAsia"/>
                      <w:lang w:eastAsia="zh-CN"/>
                    </w:rPr>
                    <w:t>1</w:t>
                  </w:r>
                  <w:r>
                    <w:rPr>
                      <w:lang w:eastAsia="zh-CN"/>
                    </w:rPr>
                    <w:t>4</w:t>
                  </w:r>
                </w:p>
              </w:tc>
              <w:tc>
                <w:tcPr>
                  <w:tcW w:w="1229" w:type="pct"/>
                  <w:vAlign w:val="center"/>
                </w:tcPr>
                <w:p>
                  <w:pPr>
                    <w:pStyle w:val="56"/>
                    <w:rPr>
                      <w:lang w:eastAsia="zh-CN"/>
                    </w:rPr>
                  </w:pPr>
                  <w:r>
                    <w:rPr>
                      <w:rFonts w:hint="eastAsia"/>
                      <w:lang w:eastAsia="zh-CN"/>
                    </w:rPr>
                    <w:t>氯化钠水溶液</w:t>
                  </w:r>
                </w:p>
              </w:tc>
              <w:tc>
                <w:tcPr>
                  <w:tcW w:w="1000" w:type="pct"/>
                  <w:vAlign w:val="center"/>
                </w:tcPr>
                <w:p>
                  <w:pPr>
                    <w:pStyle w:val="56"/>
                    <w:rPr>
                      <w:lang w:eastAsia="zh-CN"/>
                    </w:rPr>
                  </w:pPr>
                  <w:r>
                    <w:rPr>
                      <w:rFonts w:hint="eastAsia"/>
                      <w:lang w:eastAsia="zh-CN"/>
                    </w:rPr>
                    <w:t>5</w:t>
                  </w:r>
                  <w:r>
                    <w:rPr>
                      <w:lang w:eastAsia="zh-CN"/>
                    </w:rPr>
                    <w:t>00</w:t>
                  </w:r>
                  <w:r>
                    <w:rPr>
                      <w:rFonts w:hint="eastAsia"/>
                      <w:lang w:eastAsia="zh-CN"/>
                    </w:rPr>
                    <w:t>mL</w:t>
                  </w:r>
                  <w:r>
                    <w:rPr>
                      <w:lang w:eastAsia="zh-CN"/>
                    </w:rPr>
                    <w:t>/</w:t>
                  </w:r>
                  <w:r>
                    <w:rPr>
                      <w:rFonts w:hint="eastAsia"/>
                      <w:lang w:eastAsia="zh-CN"/>
                    </w:rPr>
                    <w:t>瓶</w:t>
                  </w:r>
                </w:p>
              </w:tc>
              <w:tc>
                <w:tcPr>
                  <w:tcW w:w="1000" w:type="pct"/>
                  <w:vAlign w:val="center"/>
                </w:tcPr>
                <w:p>
                  <w:pPr>
                    <w:pStyle w:val="56"/>
                    <w:rPr>
                      <w:lang w:eastAsia="zh-CN"/>
                    </w:rPr>
                  </w:pPr>
                  <w:r>
                    <w:rPr>
                      <w:lang w:eastAsia="zh-CN"/>
                    </w:rPr>
                    <w:t>20</w:t>
                  </w:r>
                  <w:r>
                    <w:rPr>
                      <w:rFonts w:hint="eastAsia"/>
                      <w:lang w:eastAsia="zh-CN"/>
                    </w:rPr>
                    <w:t>瓶</w:t>
                  </w:r>
                </w:p>
              </w:tc>
              <w:tc>
                <w:tcPr>
                  <w:tcW w:w="1002" w:type="pct"/>
                  <w:vAlign w:val="center"/>
                </w:tcPr>
                <w:p>
                  <w:pPr>
                    <w:pStyle w:val="56"/>
                  </w:pPr>
                  <w:r>
                    <w:rPr>
                      <w:rFonts w:hint="eastAsia"/>
                      <w:lang w:eastAsia="zh-CN"/>
                    </w:rPr>
                    <w:t>2</w:t>
                  </w:r>
                  <w:r>
                    <w:rPr>
                      <w:lang w:eastAsia="zh-CN"/>
                    </w:rPr>
                    <w:t>0</w:t>
                  </w:r>
                  <w:r>
                    <w:rPr>
                      <w:rFonts w:hint="eastAsia"/>
                      <w:lang w:eastAsia="zh-CN"/>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56"/>
                    <w:jc w:val="both"/>
                    <w:rPr>
                      <w:lang w:eastAsia="zh-CN"/>
                    </w:rPr>
                  </w:pPr>
                  <w:r>
                    <w:rPr>
                      <w:rFonts w:hint="eastAsia"/>
                      <w:lang w:eastAsia="zh-CN"/>
                    </w:rPr>
                    <w:t>注：消毒片仅在地面清洗及大范围清洗时使用。</w:t>
                  </w:r>
                </w:p>
              </w:tc>
            </w:tr>
          </w:tbl>
          <w:p>
            <w:pPr>
              <w:ind w:firstLine="480"/>
              <w:rPr>
                <w:lang w:val="zh-CN"/>
              </w:rPr>
            </w:pPr>
            <w:r>
              <w:rPr>
                <w:rFonts w:hint="eastAsia"/>
                <w:lang w:val="zh-CN"/>
              </w:rPr>
              <w:t>主要化学物料理化性质见下表。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rPr>
                <w:rFonts w:hint="eastAsia"/>
              </w:rPr>
              <w:t>项目物料化学性质一览表</w:t>
            </w:r>
          </w:p>
          <w:tbl>
            <w:tblPr>
              <w:tblStyle w:val="3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795"/>
              <w:gridCol w:w="858"/>
              <w:gridCol w:w="2495"/>
              <w:gridCol w:w="956"/>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29" w:type="pct"/>
                  <w:vAlign w:val="center"/>
                </w:tcPr>
                <w:p>
                  <w:pPr>
                    <w:pStyle w:val="66"/>
                    <w:spacing w:before="24" w:after="24"/>
                  </w:pPr>
                  <w:r>
                    <w:rPr>
                      <w:rFonts w:hint="eastAsia"/>
                    </w:rPr>
                    <w:t>名称</w:t>
                  </w:r>
                </w:p>
              </w:tc>
              <w:tc>
                <w:tcPr>
                  <w:tcW w:w="572" w:type="pct"/>
                  <w:vAlign w:val="center"/>
                </w:tcPr>
                <w:p>
                  <w:pPr>
                    <w:pStyle w:val="66"/>
                    <w:spacing w:before="24" w:after="24"/>
                  </w:pPr>
                  <w:r>
                    <w:rPr>
                      <w:rFonts w:hint="eastAsia"/>
                    </w:rPr>
                    <w:t>分子式</w:t>
                  </w:r>
                </w:p>
              </w:tc>
              <w:tc>
                <w:tcPr>
                  <w:tcW w:w="618" w:type="pct"/>
                  <w:vAlign w:val="center"/>
                </w:tcPr>
                <w:p>
                  <w:pPr>
                    <w:pStyle w:val="66"/>
                    <w:spacing w:before="24" w:after="24"/>
                  </w:pPr>
                  <w:r>
                    <w:rPr>
                      <w:rFonts w:hint="eastAsia"/>
                    </w:rPr>
                    <w:t>CAS号</w:t>
                  </w:r>
                </w:p>
              </w:tc>
              <w:tc>
                <w:tcPr>
                  <w:tcW w:w="1796" w:type="pct"/>
                  <w:vAlign w:val="center"/>
                </w:tcPr>
                <w:p>
                  <w:pPr>
                    <w:pStyle w:val="66"/>
                    <w:spacing w:before="24" w:after="24"/>
                  </w:pPr>
                  <w:r>
                    <w:rPr>
                      <w:rFonts w:hint="eastAsia"/>
                    </w:rPr>
                    <w:t>理化性质</w:t>
                  </w:r>
                </w:p>
              </w:tc>
              <w:tc>
                <w:tcPr>
                  <w:tcW w:w="688" w:type="pct"/>
                  <w:vAlign w:val="center"/>
                </w:tcPr>
                <w:p>
                  <w:pPr>
                    <w:pStyle w:val="66"/>
                    <w:spacing w:before="24" w:after="24"/>
                  </w:pPr>
                  <w:r>
                    <w:rPr>
                      <w:rFonts w:hint="eastAsia"/>
                    </w:rPr>
                    <w:t>燃烧爆炸性</w:t>
                  </w:r>
                </w:p>
              </w:tc>
              <w:tc>
                <w:tcPr>
                  <w:tcW w:w="896" w:type="pct"/>
                  <w:vAlign w:val="center"/>
                </w:tcPr>
                <w:p>
                  <w:pPr>
                    <w:pStyle w:val="66"/>
                    <w:spacing w:before="24" w:after="24"/>
                  </w:pPr>
                  <w:r>
                    <w:rPr>
                      <w:rFonts w:hint="eastAsia"/>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pPr>
                    <w:pStyle w:val="66"/>
                    <w:spacing w:before="24" w:after="24"/>
                  </w:pPr>
                  <w:r>
                    <w:rPr>
                      <w:rFonts w:hint="eastAsia"/>
                    </w:rPr>
                    <w:t>乙醇</w:t>
                  </w:r>
                </w:p>
              </w:tc>
              <w:tc>
                <w:tcPr>
                  <w:tcW w:w="572" w:type="pct"/>
                  <w:vAlign w:val="center"/>
                </w:tcPr>
                <w:p>
                  <w:pPr>
                    <w:pStyle w:val="66"/>
                    <w:spacing w:before="24" w:after="24"/>
                  </w:pPr>
                  <w:r>
                    <w:rPr>
                      <w:rFonts w:hint="eastAsia"/>
                    </w:rPr>
                    <w:t>C</w:t>
                  </w:r>
                  <w:r>
                    <w:rPr>
                      <w:rFonts w:hint="eastAsia"/>
                      <w:vertAlign w:val="subscript"/>
                    </w:rPr>
                    <w:t>2</w:t>
                  </w:r>
                  <w:r>
                    <w:rPr>
                      <w:rFonts w:hint="eastAsia"/>
                    </w:rPr>
                    <w:t>H</w:t>
                  </w:r>
                  <w:r>
                    <w:rPr>
                      <w:rFonts w:hint="eastAsia"/>
                      <w:vertAlign w:val="subscript"/>
                    </w:rPr>
                    <w:t>6</w:t>
                  </w:r>
                  <w:r>
                    <w:rPr>
                      <w:rFonts w:hint="eastAsia"/>
                    </w:rPr>
                    <w:t>O</w:t>
                  </w:r>
                </w:p>
              </w:tc>
              <w:tc>
                <w:tcPr>
                  <w:tcW w:w="618" w:type="pct"/>
                  <w:vAlign w:val="center"/>
                </w:tcPr>
                <w:p>
                  <w:pPr>
                    <w:pStyle w:val="66"/>
                    <w:spacing w:before="24" w:after="24"/>
                  </w:pPr>
                  <w:r>
                    <w:rPr>
                      <w:rFonts w:hint="eastAsia"/>
                    </w:rPr>
                    <w:t>64-17-5</w:t>
                  </w:r>
                </w:p>
              </w:tc>
              <w:tc>
                <w:tcPr>
                  <w:tcW w:w="1796" w:type="pct"/>
                  <w:vAlign w:val="center"/>
                </w:tcPr>
                <w:p>
                  <w:pPr>
                    <w:pStyle w:val="66"/>
                    <w:spacing w:before="24" w:after="24"/>
                    <w:jc w:val="left"/>
                  </w:pPr>
                  <w:r>
                    <w:rPr>
                      <w:rFonts w:hint="eastAsia"/>
                    </w:rPr>
                    <w:t>外观与形状：无色液体，具有特殊香味</w:t>
                  </w:r>
                </w:p>
                <w:p>
                  <w:pPr>
                    <w:pStyle w:val="66"/>
                    <w:spacing w:before="24" w:after="24"/>
                    <w:jc w:val="left"/>
                  </w:pPr>
                  <w:r>
                    <w:rPr>
                      <w:rFonts w:hint="eastAsia"/>
                    </w:rPr>
                    <w:t>熔点（℃）：-114.1</w:t>
                  </w:r>
                </w:p>
                <w:p>
                  <w:pPr>
                    <w:pStyle w:val="66"/>
                    <w:spacing w:before="24" w:after="24"/>
                    <w:jc w:val="left"/>
                  </w:pPr>
                  <w:r>
                    <w:rPr>
                      <w:rFonts w:hint="eastAsia"/>
                    </w:rPr>
                    <w:t>相对密度（水=1）：0.79</w:t>
                  </w:r>
                </w:p>
                <w:p>
                  <w:pPr>
                    <w:pStyle w:val="66"/>
                    <w:spacing w:before="24" w:after="24"/>
                    <w:jc w:val="left"/>
                  </w:pPr>
                  <w:r>
                    <w:rPr>
                      <w:rFonts w:hint="eastAsia"/>
                    </w:rPr>
                    <w:t>沸点（℃）：78.3</w:t>
                  </w:r>
                </w:p>
                <w:p>
                  <w:pPr>
                    <w:pStyle w:val="66"/>
                    <w:spacing w:before="24" w:after="24"/>
                    <w:jc w:val="left"/>
                  </w:pPr>
                  <w:r>
                    <w:rPr>
                      <w:rFonts w:hint="eastAsia"/>
                    </w:rPr>
                    <w:t>闪点（℃）：12</w:t>
                  </w:r>
                </w:p>
                <w:p>
                  <w:pPr>
                    <w:pStyle w:val="66"/>
                    <w:spacing w:before="24" w:after="24"/>
                    <w:jc w:val="left"/>
                  </w:pPr>
                  <w:r>
                    <w:rPr>
                      <w:rFonts w:hint="eastAsia"/>
                    </w:rPr>
                    <w:t>引燃温度（℃）：363</w:t>
                  </w:r>
                </w:p>
                <w:p>
                  <w:pPr>
                    <w:pStyle w:val="66"/>
                    <w:spacing w:before="24" w:after="24"/>
                    <w:jc w:val="left"/>
                  </w:pPr>
                  <w:r>
                    <w:rPr>
                      <w:rFonts w:hint="eastAsia"/>
                    </w:rPr>
                    <w:t>相对蒸气密度（空气=1）：1.59</w:t>
                  </w:r>
                </w:p>
                <w:p>
                  <w:pPr>
                    <w:pStyle w:val="66"/>
                    <w:spacing w:before="24" w:after="24"/>
                    <w:jc w:val="left"/>
                  </w:pPr>
                  <w:r>
                    <w:rPr>
                      <w:rFonts w:hint="eastAsia"/>
                    </w:rPr>
                    <w:t>挥发性：易挥发</w:t>
                  </w:r>
                </w:p>
                <w:p>
                  <w:pPr>
                    <w:pStyle w:val="66"/>
                    <w:spacing w:before="24" w:after="24"/>
                    <w:jc w:val="left"/>
                  </w:pPr>
                  <w:r>
                    <w:rPr>
                      <w:rFonts w:hint="eastAsia"/>
                    </w:rPr>
                    <w:t>溶解性：与水混溶，可混溶于醚、氯仿、甘油等有机溶剂纯度：高达99.5%的乙醇（纯度达99.99%的乙醇称为绝对乙醇）</w:t>
                  </w:r>
                </w:p>
              </w:tc>
              <w:tc>
                <w:tcPr>
                  <w:tcW w:w="688" w:type="pct"/>
                  <w:vAlign w:val="center"/>
                </w:tcPr>
                <w:p>
                  <w:pPr>
                    <w:pStyle w:val="66"/>
                    <w:spacing w:before="24" w:after="24"/>
                  </w:pPr>
                  <w:r>
                    <w:rPr>
                      <w:rFonts w:hint="eastAsia"/>
                    </w:rPr>
                    <w:t>易燃，具刺激性</w:t>
                  </w:r>
                </w:p>
              </w:tc>
              <w:tc>
                <w:tcPr>
                  <w:tcW w:w="896" w:type="pct"/>
                  <w:vAlign w:val="center"/>
                </w:tcPr>
                <w:p>
                  <w:pPr>
                    <w:pStyle w:val="66"/>
                    <w:spacing w:before="24" w:after="24"/>
                  </w:pPr>
                  <w:r>
                    <w:rPr>
                      <w:rFonts w:hint="eastAsia"/>
                    </w:rPr>
                    <w:t>LD</w:t>
                  </w:r>
                  <w:r>
                    <w:rPr>
                      <w:rFonts w:hint="eastAsia"/>
                      <w:vertAlign w:val="subscript"/>
                    </w:rPr>
                    <w:t>50</w:t>
                  </w:r>
                  <w:r>
                    <w:rPr>
                      <w:rFonts w:hint="eastAsia"/>
                    </w:rPr>
                    <w:t>：7060mg/kg（兔经口）7340mg/kg（兔经皮）；</w:t>
                  </w:r>
                  <w:r>
                    <w:rPr>
                      <w:rFonts w:hint="eastAsia"/>
                    </w:rPr>
                    <w:br w:type="textWrapping"/>
                  </w:r>
                  <w:r>
                    <w:rPr>
                      <w:rFonts w:hint="eastAsia"/>
                    </w:rPr>
                    <w:t>LC</w:t>
                  </w:r>
                  <w:r>
                    <w:rPr>
                      <w:rFonts w:hint="eastAsia"/>
                      <w:vertAlign w:val="subscript"/>
                    </w:rPr>
                    <w:t>50</w:t>
                  </w:r>
                  <w:r>
                    <w:rPr>
                      <w:rFonts w:hint="eastAsia"/>
                    </w:rPr>
                    <w:t>：37620mg/m</w:t>
                  </w:r>
                  <w:r>
                    <w:rPr>
                      <w:rFonts w:hint="eastAsia"/>
                      <w:vertAlign w:val="superscript"/>
                    </w:rPr>
                    <w:t>3</w:t>
                  </w:r>
                  <w:r>
                    <w:rPr>
                      <w:rFonts w:hint="eastAsia"/>
                    </w:rPr>
                    <w:t>，10小时（大鼠吸入）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pPr>
                    <w:pStyle w:val="66"/>
                    <w:spacing w:before="24" w:after="24"/>
                  </w:pPr>
                  <w:r>
                    <w:rPr>
                      <w:rFonts w:hint="eastAsia"/>
                    </w:rPr>
                    <w:t>氯化钠</w:t>
                  </w:r>
                </w:p>
              </w:tc>
              <w:tc>
                <w:tcPr>
                  <w:tcW w:w="572" w:type="pct"/>
                  <w:vAlign w:val="center"/>
                </w:tcPr>
                <w:p>
                  <w:pPr>
                    <w:pStyle w:val="66"/>
                    <w:spacing w:before="24" w:after="24"/>
                  </w:pPr>
                  <w:r>
                    <w:t>Na</w:t>
                  </w:r>
                  <w:r>
                    <w:rPr>
                      <w:rFonts w:hint="eastAsia"/>
                    </w:rPr>
                    <w:t>Cl</w:t>
                  </w:r>
                </w:p>
              </w:tc>
              <w:tc>
                <w:tcPr>
                  <w:tcW w:w="618" w:type="pct"/>
                  <w:vAlign w:val="center"/>
                </w:tcPr>
                <w:p>
                  <w:pPr>
                    <w:pStyle w:val="66"/>
                    <w:spacing w:before="24" w:after="24"/>
                  </w:pPr>
                  <w:r>
                    <w:rPr>
                      <w:rFonts w:hint="eastAsia"/>
                    </w:rPr>
                    <w:t>7647-14-5</w:t>
                  </w:r>
                </w:p>
              </w:tc>
              <w:tc>
                <w:tcPr>
                  <w:tcW w:w="1796" w:type="pct"/>
                  <w:vAlign w:val="center"/>
                </w:tcPr>
                <w:p>
                  <w:pPr>
                    <w:pStyle w:val="66"/>
                    <w:spacing w:before="24" w:after="24"/>
                    <w:jc w:val="left"/>
                    <w:rPr>
                      <w:rFonts w:ascii="Helvetica" w:hAnsi="Helvetica"/>
                      <w:szCs w:val="21"/>
                      <w:shd w:val="clear" w:color="auto" w:fill="FFFFFF"/>
                    </w:rPr>
                  </w:pPr>
                  <w:r>
                    <w:rPr>
                      <w:rFonts w:hint="eastAsia"/>
                    </w:rPr>
                    <w:t>外观与形状：</w:t>
                  </w:r>
                  <w:r>
                    <w:rPr>
                      <w:rFonts w:ascii="Helvetica" w:hAnsi="Helvetica"/>
                      <w:szCs w:val="21"/>
                      <w:shd w:val="clear" w:color="auto" w:fill="FFFFFF"/>
                    </w:rPr>
                    <w:t>无色立方结晶或细小结晶粉末</w:t>
                  </w:r>
                </w:p>
                <w:p>
                  <w:pPr>
                    <w:pStyle w:val="66"/>
                    <w:spacing w:before="24" w:after="24"/>
                    <w:jc w:val="left"/>
                  </w:pPr>
                  <w:r>
                    <w:rPr>
                      <w:rFonts w:hint="eastAsia"/>
                    </w:rPr>
                    <w:t>熔点（℃）：801</w:t>
                  </w:r>
                </w:p>
                <w:p>
                  <w:pPr>
                    <w:pStyle w:val="66"/>
                    <w:spacing w:before="24" w:after="24"/>
                    <w:jc w:val="left"/>
                  </w:pPr>
                  <w:r>
                    <w:rPr>
                      <w:rFonts w:hint="eastAsia"/>
                    </w:rPr>
                    <w:t>沸点（℃）：1465</w:t>
                  </w:r>
                </w:p>
                <w:p>
                  <w:pPr>
                    <w:pStyle w:val="66"/>
                    <w:spacing w:before="24" w:after="24"/>
                    <w:jc w:val="left"/>
                  </w:pPr>
                  <w:r>
                    <w:rPr>
                      <w:rFonts w:hint="eastAsia"/>
                    </w:rPr>
                    <w:t>密度（25℃）：2.165g/cm³</w:t>
                  </w:r>
                </w:p>
                <w:p>
                  <w:pPr>
                    <w:pStyle w:val="66"/>
                    <w:spacing w:before="24" w:after="24"/>
                    <w:jc w:val="left"/>
                  </w:pPr>
                  <w:r>
                    <w:rPr>
                      <w:rFonts w:hint="eastAsia"/>
                    </w:rPr>
                    <w:t>挥发性：不挥发</w:t>
                  </w:r>
                </w:p>
                <w:p>
                  <w:pPr>
                    <w:pStyle w:val="66"/>
                    <w:spacing w:before="24" w:after="24"/>
                    <w:jc w:val="left"/>
                  </w:pPr>
                  <w:r>
                    <w:rPr>
                      <w:rFonts w:hint="eastAsia"/>
                    </w:rPr>
                    <w:t>溶解性：易溶于水、甘油，微溶于乙醇（酒精）、液氨；不溶于浓盐酸</w:t>
                  </w:r>
                </w:p>
              </w:tc>
              <w:tc>
                <w:tcPr>
                  <w:tcW w:w="688" w:type="pct"/>
                  <w:vAlign w:val="center"/>
                </w:tcPr>
                <w:p>
                  <w:pPr>
                    <w:pStyle w:val="66"/>
                    <w:spacing w:before="24" w:after="24"/>
                  </w:pPr>
                  <w:r>
                    <w:rPr>
                      <w:rFonts w:hint="eastAsia"/>
                    </w:rPr>
                    <w:t>不易燃易爆</w:t>
                  </w:r>
                </w:p>
              </w:tc>
              <w:tc>
                <w:tcPr>
                  <w:tcW w:w="896" w:type="pct"/>
                  <w:vAlign w:val="center"/>
                </w:tcPr>
                <w:p>
                  <w:pPr>
                    <w:pStyle w:val="66"/>
                    <w:spacing w:before="24" w:after="24"/>
                  </w:pPr>
                  <w:r>
                    <w:rPr>
                      <w:rFonts w:hint="eastAsia"/>
                    </w:rPr>
                    <w:t>无相关资料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pPr>
                    <w:pStyle w:val="66"/>
                    <w:spacing w:before="24" w:after="24"/>
                    <w:rPr>
                      <w:lang w:eastAsia="zh-CN"/>
                    </w:rPr>
                  </w:pPr>
                  <w:r>
                    <w:rPr>
                      <w:rFonts w:hint="eastAsia"/>
                      <w:lang w:eastAsia="zh-CN"/>
                    </w:rPr>
                    <w:t>二氧化氯</w:t>
                  </w:r>
                </w:p>
              </w:tc>
              <w:tc>
                <w:tcPr>
                  <w:tcW w:w="572" w:type="pct"/>
                  <w:vAlign w:val="center"/>
                </w:tcPr>
                <w:p>
                  <w:pPr>
                    <w:pStyle w:val="66"/>
                    <w:spacing w:before="24" w:after="24"/>
                  </w:pPr>
                  <w:r>
                    <w:t>ClO</w:t>
                  </w:r>
                  <w:r>
                    <w:rPr>
                      <w:vertAlign w:val="subscript"/>
                    </w:rPr>
                    <w:t>2</w:t>
                  </w:r>
                </w:p>
              </w:tc>
              <w:tc>
                <w:tcPr>
                  <w:tcW w:w="618" w:type="pct"/>
                  <w:vAlign w:val="center"/>
                </w:tcPr>
                <w:p>
                  <w:pPr>
                    <w:pStyle w:val="66"/>
                    <w:spacing w:before="24" w:after="24"/>
                  </w:pPr>
                  <w:r>
                    <w:t>10049-04-4</w:t>
                  </w:r>
                </w:p>
              </w:tc>
              <w:tc>
                <w:tcPr>
                  <w:tcW w:w="1796" w:type="pct"/>
                  <w:vAlign w:val="center"/>
                </w:tcPr>
                <w:p>
                  <w:pPr>
                    <w:pStyle w:val="66"/>
                    <w:spacing w:before="24" w:after="24"/>
                    <w:jc w:val="left"/>
                  </w:pPr>
                  <w:r>
                    <w:rPr>
                      <w:rFonts w:hint="eastAsia"/>
                    </w:rPr>
                    <w:t>外观与形状：</w:t>
                  </w:r>
                  <w:r>
                    <w:rPr>
                      <w:rFonts w:ascii="Helvetica" w:hAnsi="Helvetica"/>
                      <w:szCs w:val="21"/>
                      <w:shd w:val="clear" w:color="auto" w:fill="FFFFFF"/>
                    </w:rPr>
                    <w:t>红黄色有强烈刺激性臭味气体</w:t>
                  </w:r>
                </w:p>
                <w:p>
                  <w:pPr>
                    <w:pStyle w:val="66"/>
                    <w:spacing w:before="24" w:after="24"/>
                    <w:jc w:val="left"/>
                  </w:pPr>
                  <w:r>
                    <w:rPr>
                      <w:rFonts w:hint="eastAsia"/>
                    </w:rPr>
                    <w:t>熔点（℃）：-59</w:t>
                  </w:r>
                </w:p>
                <w:p>
                  <w:pPr>
                    <w:pStyle w:val="66"/>
                    <w:spacing w:before="24" w:after="24"/>
                    <w:jc w:val="left"/>
                  </w:pPr>
                  <w:r>
                    <w:rPr>
                      <w:rFonts w:hint="eastAsia"/>
                    </w:rPr>
                    <w:t>沸点（℃）：1</w:t>
                  </w:r>
                  <w:r>
                    <w:t>1</w:t>
                  </w:r>
                </w:p>
                <w:p>
                  <w:pPr>
                    <w:pStyle w:val="66"/>
                    <w:spacing w:before="24" w:after="24"/>
                    <w:jc w:val="left"/>
                  </w:pPr>
                  <w:r>
                    <w:rPr>
                      <w:rFonts w:hint="eastAsia"/>
                    </w:rPr>
                    <w:t>密度（25℃）：</w:t>
                  </w:r>
                  <w:r>
                    <w:t>3.09g/cm³</w:t>
                  </w:r>
                </w:p>
                <w:p>
                  <w:pPr>
                    <w:pStyle w:val="66"/>
                    <w:spacing w:before="24" w:after="24"/>
                    <w:jc w:val="left"/>
                  </w:pPr>
                  <w:r>
                    <w:rPr>
                      <w:rFonts w:hint="eastAsia"/>
                    </w:rPr>
                    <w:t>溶解性：极易溶于水而不与水反应，几乎不发生水解（水溶液中的亚氯酸和氯酸只占溶质的2%）；在水中的溶解度是氯的5～8倍。溶于碱溶液而生成亚氯酸盐和氯酸盐。二氧化氯还可溶于冰醋酸、四氯化碳中，易被硫酸吸收，但不与硫酸反应</w:t>
                  </w:r>
                </w:p>
              </w:tc>
              <w:tc>
                <w:tcPr>
                  <w:tcW w:w="688" w:type="pct"/>
                  <w:vAlign w:val="center"/>
                </w:tcPr>
                <w:p>
                  <w:pPr>
                    <w:pStyle w:val="66"/>
                    <w:spacing w:before="24" w:after="24"/>
                  </w:pPr>
                  <w:r>
                    <w:rPr>
                      <w:rFonts w:hint="eastAsia"/>
                    </w:rPr>
                    <w:t>对热、震动、撞击和摩擦相当敏感，极易分解发生爆炸。</w:t>
                  </w:r>
                </w:p>
              </w:tc>
              <w:tc>
                <w:tcPr>
                  <w:tcW w:w="896" w:type="pct"/>
                  <w:vAlign w:val="center"/>
                </w:tcPr>
                <w:p>
                  <w:pPr>
                    <w:pStyle w:val="66"/>
                    <w:spacing w:before="24" w:after="24"/>
                  </w:pPr>
                  <w:r>
                    <w:rPr>
                      <w:rFonts w:hint="eastAsia"/>
                    </w:rPr>
                    <w:t>急性毒性：94mg/kg（大鼠口服）；LCLo：260 ppm（大鼠，2小时）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pPr>
                    <w:pStyle w:val="66"/>
                    <w:spacing w:before="24" w:after="24"/>
                    <w:rPr>
                      <w:lang w:eastAsia="zh-CN"/>
                    </w:rPr>
                  </w:pPr>
                  <w:r>
                    <w:rPr>
                      <w:rFonts w:hint="eastAsia"/>
                    </w:rPr>
                    <w:t>氢氧化钠</w:t>
                  </w:r>
                </w:p>
              </w:tc>
              <w:tc>
                <w:tcPr>
                  <w:tcW w:w="572" w:type="pct"/>
                  <w:vAlign w:val="center"/>
                </w:tcPr>
                <w:p>
                  <w:pPr>
                    <w:pStyle w:val="66"/>
                    <w:spacing w:before="24" w:after="24"/>
                  </w:pPr>
                  <w:r>
                    <w:t>NaOH</w:t>
                  </w:r>
                </w:p>
              </w:tc>
              <w:tc>
                <w:tcPr>
                  <w:tcW w:w="618" w:type="pct"/>
                  <w:vAlign w:val="center"/>
                </w:tcPr>
                <w:p>
                  <w:pPr>
                    <w:pStyle w:val="66"/>
                    <w:spacing w:before="24" w:after="24"/>
                  </w:pPr>
                  <w:r>
                    <w:rPr>
                      <w:rFonts w:hint="eastAsia"/>
                    </w:rPr>
                    <w:t>1310-73-2</w:t>
                  </w:r>
                </w:p>
              </w:tc>
              <w:tc>
                <w:tcPr>
                  <w:tcW w:w="1796" w:type="pct"/>
                  <w:vAlign w:val="center"/>
                </w:tcPr>
                <w:p>
                  <w:pPr>
                    <w:pStyle w:val="66"/>
                    <w:spacing w:before="24" w:after="24"/>
                    <w:jc w:val="left"/>
                  </w:pPr>
                  <w:r>
                    <w:rPr>
                      <w:rFonts w:hint="eastAsia"/>
                    </w:rPr>
                    <w:t>外观与形状：白色半透明片状或颗粒</w:t>
                  </w:r>
                </w:p>
                <w:p>
                  <w:pPr>
                    <w:pStyle w:val="66"/>
                    <w:spacing w:before="24" w:after="24"/>
                    <w:jc w:val="left"/>
                  </w:pPr>
                  <w:r>
                    <w:rPr>
                      <w:rFonts w:hint="eastAsia"/>
                    </w:rPr>
                    <w:t>熔点（℃）：318</w:t>
                  </w:r>
                </w:p>
                <w:p>
                  <w:pPr>
                    <w:pStyle w:val="66"/>
                    <w:spacing w:before="24" w:after="24"/>
                    <w:jc w:val="left"/>
                  </w:pPr>
                  <w:r>
                    <w:rPr>
                      <w:rFonts w:hint="eastAsia"/>
                    </w:rPr>
                    <w:t>沸点（℃）：1396</w:t>
                  </w:r>
                </w:p>
                <w:p>
                  <w:pPr>
                    <w:pStyle w:val="66"/>
                    <w:spacing w:before="24" w:after="24"/>
                    <w:jc w:val="left"/>
                  </w:pPr>
                  <w:r>
                    <w:rPr>
                      <w:rFonts w:hint="eastAsia"/>
                    </w:rPr>
                    <w:t>闪点（℃）：176-178</w:t>
                  </w:r>
                </w:p>
                <w:p>
                  <w:pPr>
                    <w:pStyle w:val="66"/>
                    <w:spacing w:before="24" w:after="24"/>
                    <w:jc w:val="left"/>
                  </w:pPr>
                  <w:r>
                    <w:rPr>
                      <w:rFonts w:hint="eastAsia"/>
                    </w:rPr>
                    <w:t>挥发性：不挥发</w:t>
                  </w:r>
                </w:p>
                <w:p>
                  <w:pPr>
                    <w:pStyle w:val="66"/>
                    <w:spacing w:before="24" w:after="24"/>
                    <w:jc w:val="left"/>
                  </w:pPr>
                  <w:r>
                    <w:rPr>
                      <w:rFonts w:hint="eastAsia"/>
                    </w:rPr>
                    <w:t>溶解性：极易溶于水，溶解时放出大量的热。易溶于乙醇、甘油</w:t>
                  </w:r>
                </w:p>
              </w:tc>
              <w:tc>
                <w:tcPr>
                  <w:tcW w:w="688" w:type="pct"/>
                  <w:vAlign w:val="center"/>
                </w:tcPr>
                <w:p>
                  <w:pPr>
                    <w:pStyle w:val="66"/>
                    <w:spacing w:before="24" w:after="24"/>
                  </w:pPr>
                  <w:r>
                    <w:rPr>
                      <w:rFonts w:hint="eastAsia"/>
                    </w:rPr>
                    <w:t>具有高腐蚀性</w:t>
                  </w:r>
                </w:p>
              </w:tc>
              <w:tc>
                <w:tcPr>
                  <w:tcW w:w="896" w:type="pct"/>
                  <w:vAlign w:val="center"/>
                </w:tcPr>
                <w:p>
                  <w:pPr>
                    <w:pStyle w:val="66"/>
                    <w:spacing w:before="24" w:after="24"/>
                  </w:pPr>
                  <w:r>
                    <w:rPr>
                      <w:rFonts w:hint="eastAsia"/>
                    </w:rPr>
                    <w:t>无相关资料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vAlign w:val="center"/>
                </w:tcPr>
                <w:p>
                  <w:pPr>
                    <w:pStyle w:val="66"/>
                    <w:spacing w:before="24" w:after="24"/>
                  </w:pPr>
                  <w:r>
                    <w:rPr>
                      <w:rFonts w:hint="eastAsia"/>
                      <w:lang w:eastAsia="zh-CN"/>
                    </w:rPr>
                    <w:t>盐酸</w:t>
                  </w:r>
                </w:p>
              </w:tc>
              <w:tc>
                <w:tcPr>
                  <w:tcW w:w="572" w:type="pct"/>
                  <w:vAlign w:val="center"/>
                </w:tcPr>
                <w:p>
                  <w:pPr>
                    <w:pStyle w:val="66"/>
                    <w:spacing w:before="24" w:after="24"/>
                  </w:pPr>
                  <w:r>
                    <w:rPr>
                      <w:rFonts w:hint="eastAsia"/>
                      <w:lang w:eastAsia="zh-CN"/>
                    </w:rPr>
                    <w:t>HCl</w:t>
                  </w:r>
                </w:p>
              </w:tc>
              <w:tc>
                <w:tcPr>
                  <w:tcW w:w="618" w:type="pct"/>
                  <w:vAlign w:val="center"/>
                </w:tcPr>
                <w:p>
                  <w:pPr>
                    <w:pStyle w:val="66"/>
                    <w:spacing w:before="24" w:after="24"/>
                  </w:pPr>
                  <w:r>
                    <w:rPr>
                      <w:rFonts w:hint="eastAsia"/>
                      <w:lang w:bidi="ar"/>
                    </w:rPr>
                    <w:t>7</w:t>
                  </w:r>
                  <w:r>
                    <w:rPr>
                      <w:lang w:bidi="ar"/>
                    </w:rPr>
                    <w:t>647-01-0</w:t>
                  </w:r>
                </w:p>
              </w:tc>
              <w:tc>
                <w:tcPr>
                  <w:tcW w:w="1796" w:type="pct"/>
                  <w:vAlign w:val="center"/>
                </w:tcPr>
                <w:p>
                  <w:pPr>
                    <w:pStyle w:val="66"/>
                    <w:spacing w:before="24" w:after="24"/>
                    <w:jc w:val="left"/>
                  </w:pPr>
                  <w:r>
                    <w:rPr>
                      <w:rFonts w:hint="eastAsia"/>
                    </w:rPr>
                    <w:t>外观与形状：</w:t>
                  </w:r>
                  <w:r>
                    <w:rPr>
                      <w:rFonts w:ascii="Helvetica" w:hAnsi="Helvetica"/>
                      <w:szCs w:val="21"/>
                      <w:shd w:val="clear" w:color="auto" w:fill="FFFFFF"/>
                    </w:rPr>
                    <w:t>无色透明的液体，有强烈的刺鼻气味</w:t>
                  </w:r>
                </w:p>
                <w:p>
                  <w:pPr>
                    <w:pStyle w:val="66"/>
                    <w:spacing w:before="24" w:after="24"/>
                    <w:jc w:val="left"/>
                  </w:pPr>
                  <w:r>
                    <w:rPr>
                      <w:rFonts w:hint="eastAsia"/>
                    </w:rPr>
                    <w:t>熔点（℃）：</w:t>
                  </w:r>
                  <w:r>
                    <w:t>-27.32</w:t>
                  </w:r>
                </w:p>
                <w:p>
                  <w:pPr>
                    <w:pStyle w:val="66"/>
                    <w:spacing w:before="24" w:after="24"/>
                    <w:jc w:val="left"/>
                  </w:pPr>
                  <w:r>
                    <w:rPr>
                      <w:rFonts w:hint="eastAsia"/>
                    </w:rPr>
                    <w:t>沸点（℃）：</w:t>
                  </w:r>
                  <w:r>
                    <w:t>48</w:t>
                  </w:r>
                </w:p>
                <w:p>
                  <w:pPr>
                    <w:pStyle w:val="66"/>
                    <w:spacing w:before="24" w:after="24"/>
                    <w:jc w:val="left"/>
                  </w:pPr>
                  <w:r>
                    <w:rPr>
                      <w:rFonts w:hint="eastAsia"/>
                    </w:rPr>
                    <w:t>闪点（℃）：</w:t>
                  </w:r>
                  <w:r>
                    <w:rPr>
                      <w:rFonts w:hint="eastAsia"/>
                      <w:lang w:eastAsia="zh-CN"/>
                    </w:rPr>
                    <w:t>不可燃</w:t>
                  </w:r>
                </w:p>
                <w:p>
                  <w:pPr>
                    <w:pStyle w:val="66"/>
                    <w:spacing w:before="24" w:after="24"/>
                    <w:jc w:val="left"/>
                  </w:pPr>
                  <w:r>
                    <w:rPr>
                      <w:rFonts w:hint="eastAsia"/>
                    </w:rPr>
                    <w:t>挥发性：</w:t>
                  </w:r>
                  <w:r>
                    <w:rPr>
                      <w:rFonts w:hint="eastAsia"/>
                      <w:lang w:eastAsia="zh-CN"/>
                    </w:rPr>
                    <w:t>极强</w:t>
                  </w:r>
                </w:p>
                <w:p>
                  <w:pPr>
                    <w:pStyle w:val="66"/>
                    <w:spacing w:before="24" w:after="24"/>
                    <w:jc w:val="left"/>
                  </w:pPr>
                  <w:r>
                    <w:rPr>
                      <w:rFonts w:hint="eastAsia"/>
                    </w:rPr>
                    <w:t>溶解性：与水混溶，浓盐酸溶于水有热量放出。溶于碱液并与碱液发生中和反应。能与乙醇任意混溶，溶于苯。</w:t>
                  </w:r>
                </w:p>
              </w:tc>
              <w:tc>
                <w:tcPr>
                  <w:tcW w:w="688" w:type="pct"/>
                  <w:vAlign w:val="center"/>
                </w:tcPr>
                <w:p>
                  <w:pPr>
                    <w:pStyle w:val="66"/>
                    <w:spacing w:before="24" w:after="24"/>
                  </w:pPr>
                  <w:r>
                    <w:rPr>
                      <w:rFonts w:hint="eastAsia"/>
                    </w:rPr>
                    <w:t>具有高腐蚀性</w:t>
                  </w:r>
                </w:p>
              </w:tc>
              <w:tc>
                <w:tcPr>
                  <w:tcW w:w="896" w:type="pct"/>
                  <w:vAlign w:val="center"/>
                </w:tcPr>
                <w:p>
                  <w:pPr>
                    <w:pStyle w:val="56"/>
                  </w:pPr>
                  <w:r>
                    <w:rPr>
                      <w:rFonts w:hint="eastAsia"/>
                    </w:rPr>
                    <w:t>LD50900mg/kg(兔经口);</w:t>
                  </w:r>
                </w:p>
                <w:p>
                  <w:pPr>
                    <w:pStyle w:val="66"/>
                    <w:spacing w:before="24" w:after="24"/>
                  </w:pPr>
                  <w:r>
                    <w:rPr>
                      <w:rFonts w:hint="eastAsia"/>
                    </w:rPr>
                    <w:t>LC503124ppm，1小时(大鼠吸入)</w:t>
                  </w:r>
                </w:p>
              </w:tc>
            </w:tr>
          </w:tbl>
          <w:p>
            <w:pPr>
              <w:pStyle w:val="56"/>
            </w:pPr>
          </w:p>
          <w:p>
            <w:pPr>
              <w:pStyle w:val="4"/>
              <w:rPr>
                <w:lang w:eastAsia="zh-CN"/>
              </w:rPr>
            </w:pPr>
            <w:bookmarkStart w:id="55" w:name="_Toc120889797"/>
            <w:bookmarkStart w:id="56" w:name="_Toc121147726"/>
            <w:bookmarkStart w:id="57" w:name="_Toc122338494"/>
            <w:r>
              <w:rPr>
                <w:rFonts w:hint="eastAsia"/>
                <w:lang w:eastAsia="zh-CN"/>
              </w:rPr>
              <w:t>主要生产设备</w:t>
            </w:r>
            <w:bookmarkEnd w:id="55"/>
            <w:bookmarkEnd w:id="56"/>
            <w:bookmarkEnd w:id="57"/>
          </w:p>
          <w:p>
            <w:pPr>
              <w:ind w:firstLine="480"/>
              <w:rPr>
                <w:lang w:val="zh-CN"/>
              </w:rPr>
            </w:pPr>
            <w:r>
              <w:rPr>
                <w:rFonts w:hint="eastAsia"/>
                <w:lang w:val="zh-CN"/>
              </w:rPr>
              <w:t>本项目的主要生产设备见下表。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r>
              <w:rPr>
                <w:rFonts w:hint="eastAsia"/>
              </w:rPr>
              <w:t>项目生产设备一览表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693"/>
              <w:gridCol w:w="993"/>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pStyle w:val="56"/>
                  </w:pPr>
                  <w:r>
                    <w:rPr>
                      <w:rFonts w:hint="eastAsia"/>
                      <w:lang w:eastAsia="zh-CN"/>
                    </w:rPr>
                    <w:t>科室</w:t>
                  </w:r>
                </w:p>
              </w:tc>
              <w:tc>
                <w:tcPr>
                  <w:tcW w:w="2693" w:type="dxa"/>
                  <w:vAlign w:val="center"/>
                </w:tcPr>
                <w:p>
                  <w:pPr>
                    <w:pStyle w:val="56"/>
                  </w:pPr>
                  <w:r>
                    <w:rPr>
                      <w:rFonts w:hint="eastAsia"/>
                      <w:lang w:eastAsia="zh-CN"/>
                    </w:rPr>
                    <w:t>设备名称</w:t>
                  </w:r>
                </w:p>
              </w:tc>
              <w:tc>
                <w:tcPr>
                  <w:tcW w:w="993" w:type="dxa"/>
                  <w:vAlign w:val="center"/>
                </w:tcPr>
                <w:p>
                  <w:pPr>
                    <w:pStyle w:val="56"/>
                  </w:pPr>
                  <w:r>
                    <w:rPr>
                      <w:rFonts w:hint="eastAsia"/>
                      <w:lang w:eastAsia="zh-CN"/>
                    </w:rPr>
                    <w:t>数量</w:t>
                  </w:r>
                </w:p>
              </w:tc>
              <w:tc>
                <w:tcPr>
                  <w:tcW w:w="2102" w:type="dxa"/>
                  <w:vAlign w:val="center"/>
                </w:tcPr>
                <w:p>
                  <w:pPr>
                    <w:pStyle w:val="56"/>
                  </w:pPr>
                  <w:r>
                    <w:rPr>
                      <w:rFonts w:hint="eastAsia"/>
                      <w:lang w:eastAsia="zh-CN"/>
                    </w:rPr>
                    <w:t>品牌规格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vAlign w:val="center"/>
                </w:tcPr>
                <w:p>
                  <w:pPr>
                    <w:pStyle w:val="56"/>
                  </w:pPr>
                  <w:r>
                    <w:rPr>
                      <w:rFonts w:hint="eastAsia"/>
                      <w:lang w:eastAsia="zh-CN"/>
                    </w:rPr>
                    <w:t>PCR检验室</w:t>
                  </w:r>
                </w:p>
              </w:tc>
              <w:tc>
                <w:tcPr>
                  <w:tcW w:w="2693" w:type="dxa"/>
                  <w:vAlign w:val="center"/>
                </w:tcPr>
                <w:p>
                  <w:pPr>
                    <w:pStyle w:val="56"/>
                  </w:pPr>
                  <w:r>
                    <w:rPr>
                      <w:rFonts w:hint="eastAsia"/>
                    </w:rPr>
                    <w:t>扩增仪</w:t>
                  </w:r>
                </w:p>
              </w:tc>
              <w:tc>
                <w:tcPr>
                  <w:tcW w:w="993" w:type="dxa"/>
                  <w:vAlign w:val="center"/>
                </w:tcPr>
                <w:p>
                  <w:pPr>
                    <w:pStyle w:val="56"/>
                  </w:pPr>
                  <w:r>
                    <w:rPr>
                      <w:rFonts w:hint="eastAsia"/>
                    </w:rPr>
                    <w:t>120</w:t>
                  </w:r>
                  <w:r>
                    <w:rPr>
                      <w:rFonts w:hint="eastAsia"/>
                      <w:lang w:eastAsia="zh-CN"/>
                    </w:rPr>
                    <w:t>台</w:t>
                  </w:r>
                </w:p>
              </w:tc>
              <w:tc>
                <w:tcPr>
                  <w:tcW w:w="2102" w:type="dxa"/>
                  <w:vAlign w:val="center"/>
                </w:tcPr>
                <w:p>
                  <w:pPr>
                    <w:pStyle w:val="56"/>
                  </w:pPr>
                  <w:r>
                    <w:rPr>
                      <w:rFonts w:hint="eastAsia"/>
                    </w:rPr>
                    <w:t>上海宏石</w:t>
                  </w:r>
                  <w:r>
                    <w:t>SLAN-96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艾康提取仪</w:t>
                  </w:r>
                </w:p>
              </w:tc>
              <w:tc>
                <w:tcPr>
                  <w:tcW w:w="993" w:type="dxa"/>
                  <w:vAlign w:val="center"/>
                </w:tcPr>
                <w:p>
                  <w:pPr>
                    <w:pStyle w:val="56"/>
                  </w:pPr>
                  <w:r>
                    <w:rPr>
                      <w:rFonts w:hint="eastAsia"/>
                    </w:rPr>
                    <w:t>15</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pPr>
                  <w:r>
                    <w:rPr>
                      <w:rFonts w:hint="eastAsia"/>
                    </w:rPr>
                    <w:t>圣湘提取仪</w:t>
                  </w:r>
                </w:p>
              </w:tc>
              <w:tc>
                <w:tcPr>
                  <w:tcW w:w="993" w:type="dxa"/>
                  <w:vAlign w:val="center"/>
                </w:tcPr>
                <w:p>
                  <w:pPr>
                    <w:pStyle w:val="56"/>
                  </w:pPr>
                  <w:r>
                    <w:rPr>
                      <w:rFonts w:hint="eastAsia"/>
                    </w:rPr>
                    <w:t>30</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lang w:eastAsia="zh-CN"/>
                    </w:rPr>
                    <w:t>生物</w:t>
                  </w:r>
                  <w:r>
                    <w:rPr>
                      <w:rFonts w:hint="eastAsia"/>
                    </w:rPr>
                    <w:t>安全柜（双人）</w:t>
                  </w:r>
                </w:p>
              </w:tc>
              <w:tc>
                <w:tcPr>
                  <w:tcW w:w="993" w:type="dxa"/>
                  <w:vAlign w:val="center"/>
                </w:tcPr>
                <w:p>
                  <w:pPr>
                    <w:pStyle w:val="56"/>
                  </w:pPr>
                  <w:r>
                    <w:rPr>
                      <w:rFonts w:hint="eastAsia"/>
                    </w:rPr>
                    <w:t>26</w:t>
                  </w:r>
                  <w:r>
                    <w:rPr>
                      <w:rFonts w:hint="eastAsia"/>
                      <w:lang w:eastAsia="zh-CN"/>
                    </w:rPr>
                    <w:t>台</w:t>
                  </w:r>
                </w:p>
              </w:tc>
              <w:tc>
                <w:tcPr>
                  <w:tcW w:w="2102" w:type="dxa"/>
                  <w:vAlign w:val="center"/>
                </w:tcPr>
                <w:p>
                  <w:pPr>
                    <w:pStyle w:val="56"/>
                  </w:pPr>
                  <w:r>
                    <w:rPr>
                      <w:rFonts w:hint="eastAsia"/>
                    </w:rPr>
                    <w:t>济南鑫贝西</w:t>
                  </w:r>
                  <w:r>
                    <w:t>BSC-1500IA2-X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分液设备</w:t>
                  </w:r>
                </w:p>
              </w:tc>
              <w:tc>
                <w:tcPr>
                  <w:tcW w:w="993" w:type="dxa"/>
                  <w:vAlign w:val="center"/>
                </w:tcPr>
                <w:p>
                  <w:pPr>
                    <w:pStyle w:val="56"/>
                  </w:pPr>
                  <w:r>
                    <w:rPr>
                      <w:rFonts w:hint="eastAsia"/>
                    </w:rPr>
                    <w:t>6</w:t>
                  </w:r>
                  <w:r>
                    <w:rPr>
                      <w:rFonts w:hint="eastAsia"/>
                      <w:lang w:eastAsia="zh-CN"/>
                    </w:rPr>
                    <w:t>台</w:t>
                  </w:r>
                </w:p>
              </w:tc>
              <w:tc>
                <w:tcPr>
                  <w:tcW w:w="2102" w:type="dxa"/>
                  <w:vAlign w:val="center"/>
                </w:tcPr>
                <w:p>
                  <w:pPr>
                    <w:pStyle w:val="56"/>
                  </w:pPr>
                  <w:r>
                    <w:rPr>
                      <w:rFonts w:hint="eastAsia"/>
                    </w:rPr>
                    <w:t>耐优生物</w:t>
                  </w:r>
                  <w:r>
                    <w:t>NAYO N96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医用冰箱（-20℃）</w:t>
                  </w:r>
                </w:p>
              </w:tc>
              <w:tc>
                <w:tcPr>
                  <w:tcW w:w="993" w:type="dxa"/>
                  <w:vAlign w:val="center"/>
                </w:tcPr>
                <w:p>
                  <w:pPr>
                    <w:pStyle w:val="56"/>
                  </w:pPr>
                  <w:r>
                    <w:rPr>
                      <w:rFonts w:hint="eastAsia"/>
                    </w:rPr>
                    <w:t>3</w:t>
                  </w:r>
                  <w:r>
                    <w:rPr>
                      <w:rFonts w:hint="eastAsia"/>
                      <w:lang w:eastAsia="zh-CN"/>
                    </w:rPr>
                    <w:t>台</w:t>
                  </w:r>
                </w:p>
              </w:tc>
              <w:tc>
                <w:tcPr>
                  <w:tcW w:w="2102" w:type="dxa"/>
                  <w:vAlign w:val="center"/>
                </w:tcPr>
                <w:p>
                  <w:pPr>
                    <w:pStyle w:val="56"/>
                  </w:pPr>
                  <w:r>
                    <w:rPr>
                      <w:rFonts w:hint="eastAsia"/>
                    </w:rPr>
                    <w:t>海尔</w:t>
                  </w:r>
                  <w:r>
                    <w:t>508L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pPr>
                  <w:r>
                    <w:rPr>
                      <w:rFonts w:hint="eastAsia"/>
                    </w:rPr>
                    <w:t>医用冰箱（-4℃）</w:t>
                  </w:r>
                </w:p>
              </w:tc>
              <w:tc>
                <w:tcPr>
                  <w:tcW w:w="993" w:type="dxa"/>
                  <w:vAlign w:val="center"/>
                </w:tcPr>
                <w:p>
                  <w:pPr>
                    <w:pStyle w:val="56"/>
                  </w:pPr>
                  <w:r>
                    <w:rPr>
                      <w:rFonts w:hint="eastAsia"/>
                    </w:rPr>
                    <w:t>20</w:t>
                  </w:r>
                  <w:r>
                    <w:rPr>
                      <w:rFonts w:hint="eastAsia"/>
                      <w:lang w:eastAsia="zh-CN"/>
                    </w:rPr>
                    <w:t>台</w:t>
                  </w:r>
                </w:p>
              </w:tc>
              <w:tc>
                <w:tcPr>
                  <w:tcW w:w="2102" w:type="dxa"/>
                  <w:vAlign w:val="center"/>
                </w:tcPr>
                <w:p>
                  <w:pPr>
                    <w:pStyle w:val="56"/>
                    <w:rPr>
                      <w:lang w:eastAsia="zh-CN"/>
                    </w:rPr>
                  </w:pPr>
                  <w:r>
                    <w:rPr>
                      <w:rFonts w:hint="eastAsia"/>
                    </w:rPr>
                    <w:t>澳柯玛</w:t>
                  </w:r>
                  <w:r>
                    <w:t>300L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医用冰箱（-4℃和-20℃）</w:t>
                  </w:r>
                </w:p>
              </w:tc>
              <w:tc>
                <w:tcPr>
                  <w:tcW w:w="993" w:type="dxa"/>
                  <w:vAlign w:val="center"/>
                </w:tcPr>
                <w:p>
                  <w:pPr>
                    <w:pStyle w:val="56"/>
                  </w:pPr>
                  <w:r>
                    <w:rPr>
                      <w:rFonts w:hint="eastAsia"/>
                    </w:rPr>
                    <w:t>6</w:t>
                  </w:r>
                  <w:r>
                    <w:rPr>
                      <w:rFonts w:hint="eastAsia"/>
                      <w:lang w:eastAsia="zh-CN"/>
                    </w:rPr>
                    <w:t>台</w:t>
                  </w:r>
                </w:p>
              </w:tc>
              <w:tc>
                <w:tcPr>
                  <w:tcW w:w="2102" w:type="dxa"/>
                  <w:vAlign w:val="center"/>
                </w:tcPr>
                <w:p>
                  <w:pPr>
                    <w:pStyle w:val="56"/>
                  </w:pPr>
                  <w:r>
                    <w:rPr>
                      <w:rFonts w:hint="eastAsia"/>
                    </w:rPr>
                    <w:t>澳柯玛</w:t>
                  </w:r>
                  <w:r>
                    <w:t>300L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振荡仪</w:t>
                  </w:r>
                </w:p>
              </w:tc>
              <w:tc>
                <w:tcPr>
                  <w:tcW w:w="993" w:type="dxa"/>
                  <w:vAlign w:val="center"/>
                </w:tcPr>
                <w:p>
                  <w:pPr>
                    <w:pStyle w:val="56"/>
                  </w:pPr>
                  <w:r>
                    <w:rPr>
                      <w:rFonts w:hint="eastAsia"/>
                    </w:rPr>
                    <w:t>20</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移液器（0.5-10μl）</w:t>
                  </w:r>
                </w:p>
              </w:tc>
              <w:tc>
                <w:tcPr>
                  <w:tcW w:w="993" w:type="dxa"/>
                  <w:vAlign w:val="center"/>
                </w:tcPr>
                <w:p>
                  <w:pPr>
                    <w:pStyle w:val="56"/>
                  </w:pPr>
                  <w:r>
                    <w:rPr>
                      <w:rFonts w:hint="eastAsia"/>
                    </w:rPr>
                    <w:t>10</w:t>
                  </w:r>
                  <w:r>
                    <w:rPr>
                      <w:rFonts w:hint="eastAsia"/>
                      <w:lang w:eastAsia="zh-CN"/>
                    </w:rPr>
                    <w:t>台</w:t>
                  </w:r>
                </w:p>
              </w:tc>
              <w:tc>
                <w:tcPr>
                  <w:tcW w:w="2102" w:type="dxa"/>
                  <w:vAlign w:val="center"/>
                </w:tcPr>
                <w:p>
                  <w:pPr>
                    <w:pStyle w:val="56"/>
                  </w:pPr>
                  <w:r>
                    <w:rPr>
                      <w:rFonts w:hint="eastAsia"/>
                    </w:rPr>
                    <w:t>赛默飞F3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pPr>
                  <w:r>
                    <w:rPr>
                      <w:rFonts w:hint="eastAsia"/>
                    </w:rPr>
                    <w:t>移液器（10-200μl）</w:t>
                  </w:r>
                </w:p>
              </w:tc>
              <w:tc>
                <w:tcPr>
                  <w:tcW w:w="993" w:type="dxa"/>
                  <w:vAlign w:val="center"/>
                </w:tcPr>
                <w:p>
                  <w:pPr>
                    <w:pStyle w:val="56"/>
                  </w:pPr>
                  <w:r>
                    <w:rPr>
                      <w:rFonts w:hint="eastAsia"/>
                    </w:rPr>
                    <w:t>10</w:t>
                  </w:r>
                  <w:r>
                    <w:rPr>
                      <w:rFonts w:hint="eastAsia"/>
                      <w:lang w:eastAsia="zh-CN"/>
                    </w:rPr>
                    <w:t>台</w:t>
                  </w:r>
                </w:p>
              </w:tc>
              <w:tc>
                <w:tcPr>
                  <w:tcW w:w="2102" w:type="dxa"/>
                  <w:vAlign w:val="center"/>
                </w:tcPr>
                <w:p>
                  <w:pPr>
                    <w:pStyle w:val="56"/>
                  </w:pPr>
                  <w:r>
                    <w:rPr>
                      <w:rFonts w:hint="eastAsia"/>
                    </w:rPr>
                    <w:t>赛默飞F3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移液器（1000μl）</w:t>
                  </w:r>
                </w:p>
              </w:tc>
              <w:tc>
                <w:tcPr>
                  <w:tcW w:w="993" w:type="dxa"/>
                  <w:vAlign w:val="center"/>
                </w:tcPr>
                <w:p>
                  <w:pPr>
                    <w:pStyle w:val="56"/>
                  </w:pPr>
                  <w:r>
                    <w:rPr>
                      <w:rFonts w:hint="eastAsia"/>
                    </w:rPr>
                    <w:t>20</w:t>
                  </w:r>
                  <w:r>
                    <w:rPr>
                      <w:rFonts w:hint="eastAsia"/>
                      <w:lang w:eastAsia="zh-CN"/>
                    </w:rPr>
                    <w:t>台</w:t>
                  </w:r>
                </w:p>
              </w:tc>
              <w:tc>
                <w:tcPr>
                  <w:tcW w:w="2102" w:type="dxa"/>
                  <w:vAlign w:val="center"/>
                </w:tcPr>
                <w:p>
                  <w:pPr>
                    <w:pStyle w:val="56"/>
                  </w:pPr>
                  <w:r>
                    <w:rPr>
                      <w:rFonts w:hint="eastAsia"/>
                    </w:rPr>
                    <w:t>赛默飞F3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排枪（0.5-50μl）</w:t>
                  </w:r>
                </w:p>
              </w:tc>
              <w:tc>
                <w:tcPr>
                  <w:tcW w:w="993" w:type="dxa"/>
                  <w:vAlign w:val="center"/>
                </w:tcPr>
                <w:p>
                  <w:pPr>
                    <w:pStyle w:val="56"/>
                  </w:pPr>
                  <w:r>
                    <w:rPr>
                      <w:rFonts w:hint="eastAsia"/>
                    </w:rPr>
                    <w:t>5</w:t>
                  </w:r>
                  <w:r>
                    <w:rPr>
                      <w:rFonts w:hint="eastAsia"/>
                      <w:lang w:eastAsia="zh-CN"/>
                    </w:rPr>
                    <w:t>台</w:t>
                  </w:r>
                </w:p>
              </w:tc>
              <w:tc>
                <w:tcPr>
                  <w:tcW w:w="2102" w:type="dxa"/>
                  <w:vAlign w:val="center"/>
                </w:tcPr>
                <w:p>
                  <w:pPr>
                    <w:pStyle w:val="56"/>
                  </w:pPr>
                  <w:r>
                    <w:rPr>
                      <w:rFonts w:hint="eastAsia"/>
                    </w:rPr>
                    <w:t>大龙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灭活恒温箱</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pPr>
                  <w:r>
                    <w:rPr>
                      <w:rFonts w:hint="eastAsia"/>
                    </w:rPr>
                    <w:t>欧莱博</w:t>
                  </w:r>
                  <w:r>
                    <w:t>HH-S6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pPr>
                  <w:r>
                    <w:rPr>
                      <w:rFonts w:hint="eastAsia"/>
                    </w:rPr>
                    <w:t>超净台</w:t>
                  </w:r>
                </w:p>
              </w:tc>
              <w:tc>
                <w:tcPr>
                  <w:tcW w:w="993" w:type="dxa"/>
                  <w:vAlign w:val="center"/>
                </w:tcPr>
                <w:p>
                  <w:pPr>
                    <w:pStyle w:val="56"/>
                  </w:pPr>
                  <w:r>
                    <w:rPr>
                      <w:lang w:eastAsia="zh-CN"/>
                    </w:rPr>
                    <w:t>4</w:t>
                  </w:r>
                  <w:r>
                    <w:rPr>
                      <w:rFonts w:hint="eastAsia"/>
                      <w:lang w:eastAsia="zh-CN"/>
                    </w:rPr>
                    <w:t>台</w:t>
                  </w:r>
                </w:p>
              </w:tc>
              <w:tc>
                <w:tcPr>
                  <w:tcW w:w="2102" w:type="dxa"/>
                  <w:vAlign w:val="center"/>
                </w:tcPr>
                <w:p>
                  <w:pPr>
                    <w:pStyle w:val="56"/>
                  </w:pPr>
                  <w:r>
                    <w:rPr>
                      <w:rFonts w:hint="eastAsia"/>
                    </w:rPr>
                    <w:t>济南鑫贝西</w:t>
                  </w:r>
                  <w:r>
                    <w:t>BBS-SDC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板式离心机</w:t>
                  </w:r>
                </w:p>
              </w:tc>
              <w:tc>
                <w:tcPr>
                  <w:tcW w:w="993" w:type="dxa"/>
                  <w:vAlign w:val="center"/>
                </w:tcPr>
                <w:p>
                  <w:pPr>
                    <w:pStyle w:val="56"/>
                  </w:pPr>
                  <w:r>
                    <w:rPr>
                      <w:rFonts w:hint="eastAsia"/>
                      <w:lang w:eastAsia="zh-CN"/>
                    </w:rPr>
                    <w:t>1台</w:t>
                  </w:r>
                </w:p>
              </w:tc>
              <w:tc>
                <w:tcPr>
                  <w:tcW w:w="2102" w:type="dxa"/>
                  <w:vAlign w:val="center"/>
                </w:tcPr>
                <w:p>
                  <w:pPr>
                    <w:pStyle w:val="56"/>
                  </w:pPr>
                  <w:r>
                    <w:rPr>
                      <w:rFonts w:hint="eastAsia"/>
                    </w:rPr>
                    <w:t>山东博科</w:t>
                  </w:r>
                  <w:r>
                    <w:t>BL-4Mi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二代测序用冰箱</w:t>
                  </w:r>
                </w:p>
              </w:tc>
              <w:tc>
                <w:tcPr>
                  <w:tcW w:w="993" w:type="dxa"/>
                  <w:vAlign w:val="center"/>
                </w:tcPr>
                <w:p>
                  <w:pPr>
                    <w:pStyle w:val="56"/>
                  </w:pPr>
                  <w:r>
                    <w:rPr>
                      <w:rFonts w:hint="eastAsia"/>
                      <w:lang w:eastAsia="zh-CN"/>
                    </w:rPr>
                    <w:t>4台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Qubit或其他分光光度计</w:t>
                  </w:r>
                </w:p>
              </w:tc>
              <w:tc>
                <w:tcPr>
                  <w:tcW w:w="993" w:type="dxa"/>
                  <w:vAlign w:val="center"/>
                </w:tcPr>
                <w:p>
                  <w:pPr>
                    <w:pStyle w:val="56"/>
                  </w:pPr>
                  <w:r>
                    <w:rPr>
                      <w:rFonts w:hint="eastAsia"/>
                      <w:lang w:eastAsia="zh-CN"/>
                    </w:rPr>
                    <w:t>4台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pPr>
                  <w:r>
                    <w:rPr>
                      <w:rFonts w:hint="eastAsia"/>
                    </w:rPr>
                    <w:t>电泳仪</w:t>
                  </w:r>
                </w:p>
              </w:tc>
              <w:tc>
                <w:tcPr>
                  <w:tcW w:w="993" w:type="dxa"/>
                  <w:vAlign w:val="center"/>
                </w:tcPr>
                <w:p>
                  <w:pPr>
                    <w:pStyle w:val="56"/>
                  </w:pPr>
                  <w:r>
                    <w:rPr>
                      <w:rFonts w:hint="eastAsia"/>
                      <w:lang w:eastAsia="zh-CN"/>
                    </w:rPr>
                    <w:t>4台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核酸质谱</w:t>
                  </w:r>
                  <w:r>
                    <w:rPr>
                      <w:rFonts w:hint="eastAsia"/>
                      <w:lang w:eastAsia="zh-CN"/>
                    </w:rPr>
                    <w:t>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二代测序仪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一代测序仪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restart"/>
                  <w:vAlign w:val="center"/>
                </w:tcPr>
                <w:p>
                  <w:pPr>
                    <w:pStyle w:val="56"/>
                    <w:rPr>
                      <w:lang w:eastAsia="zh-CN"/>
                    </w:rPr>
                  </w:pPr>
                  <w:r>
                    <w:rPr>
                      <w:rFonts w:hint="eastAsia"/>
                      <w:lang w:eastAsia="zh-CN"/>
                    </w:rPr>
                    <w:t>微生物检验室</w:t>
                  </w:r>
                </w:p>
              </w:tc>
              <w:tc>
                <w:tcPr>
                  <w:tcW w:w="2693" w:type="dxa"/>
                  <w:vAlign w:val="center"/>
                </w:tcPr>
                <w:p>
                  <w:pPr>
                    <w:pStyle w:val="56"/>
                  </w:pPr>
                  <w:r>
                    <w:rPr>
                      <w:rFonts w:hint="eastAsia"/>
                    </w:rPr>
                    <w:t>血培养仪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细菌鉴定仪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恒温培养箱</w:t>
                  </w:r>
                </w:p>
              </w:tc>
              <w:tc>
                <w:tcPr>
                  <w:tcW w:w="993" w:type="dxa"/>
                  <w:vAlign w:val="center"/>
                </w:tcPr>
                <w:p>
                  <w:pPr>
                    <w:pStyle w:val="56"/>
                  </w:pPr>
                  <w:r>
                    <w:rPr>
                      <w:rFonts w:hint="eastAsia"/>
                    </w:rPr>
                    <w:t>2</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冰箱</w:t>
                  </w:r>
                </w:p>
              </w:tc>
              <w:tc>
                <w:tcPr>
                  <w:tcW w:w="993" w:type="dxa"/>
                  <w:vAlign w:val="center"/>
                </w:tcPr>
                <w:p>
                  <w:pPr>
                    <w:pStyle w:val="56"/>
                  </w:pPr>
                  <w:r>
                    <w:rPr>
                      <w:rFonts w:hint="eastAsia"/>
                    </w:rPr>
                    <w:t>3</w:t>
                  </w:r>
                  <w:r>
                    <w:rPr>
                      <w:rFonts w:hint="eastAsia"/>
                      <w:lang w:eastAsia="zh-CN"/>
                    </w:rPr>
                    <w:t>台</w:t>
                  </w:r>
                </w:p>
              </w:tc>
              <w:tc>
                <w:tcPr>
                  <w:tcW w:w="2102" w:type="dxa"/>
                  <w:vAlign w:val="center"/>
                </w:tcPr>
                <w:p>
                  <w:pPr>
                    <w:pStyle w:val="56"/>
                    <w:rPr>
                      <w:lang w:eastAsia="zh-CN"/>
                    </w:rPr>
                  </w:pPr>
                  <w:r>
                    <w:rPr>
                      <w:rFonts w:hint="eastAsia"/>
                    </w:rPr>
                    <w:t>澳柯玛</w:t>
                  </w:r>
                  <w:r>
                    <w:t>300L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pPr>
                  <w:r>
                    <w:rPr>
                      <w:rFonts w:hint="eastAsia"/>
                    </w:rPr>
                    <w:t>生物安全柜</w:t>
                  </w:r>
                </w:p>
              </w:tc>
              <w:tc>
                <w:tcPr>
                  <w:tcW w:w="993" w:type="dxa"/>
                  <w:vAlign w:val="center"/>
                </w:tcPr>
                <w:p>
                  <w:pPr>
                    <w:pStyle w:val="56"/>
                  </w:pPr>
                  <w:r>
                    <w:rPr>
                      <w:rFonts w:hint="eastAsia"/>
                    </w:rPr>
                    <w:t>3</w:t>
                  </w:r>
                  <w:r>
                    <w:rPr>
                      <w:rFonts w:hint="eastAsia"/>
                      <w:lang w:eastAsia="zh-CN"/>
                    </w:rPr>
                    <w:t>台</w:t>
                  </w:r>
                </w:p>
              </w:tc>
              <w:tc>
                <w:tcPr>
                  <w:tcW w:w="2102" w:type="dxa"/>
                  <w:vAlign w:val="center"/>
                </w:tcPr>
                <w:p>
                  <w:pPr>
                    <w:pStyle w:val="56"/>
                    <w:rPr>
                      <w:lang w:eastAsia="zh-CN"/>
                    </w:rPr>
                  </w:pPr>
                  <w:r>
                    <w:rPr>
                      <w:rFonts w:hint="eastAsia"/>
                    </w:rPr>
                    <w:t>济南鑫贝西</w:t>
                  </w:r>
                  <w:r>
                    <w:t>BSC-1500IA2-X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微生物质谱</w:t>
                  </w:r>
                  <w:r>
                    <w:rPr>
                      <w:rFonts w:hint="eastAsia"/>
                      <w:lang w:eastAsia="zh-CN"/>
                    </w:rPr>
                    <w:t>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（-70℃）冰箱</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rPr>
                    <w:t>海尔</w:t>
                  </w:r>
                  <w:r>
                    <w:t>508L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vAlign w:val="center"/>
                </w:tcPr>
                <w:p>
                  <w:pPr>
                    <w:pStyle w:val="56"/>
                  </w:pPr>
                  <w:r>
                    <w:rPr>
                      <w:rFonts w:hint="eastAsia"/>
                      <w:lang w:eastAsia="zh-CN"/>
                    </w:rPr>
                    <w:t>生化、免疫检验室</w:t>
                  </w:r>
                </w:p>
              </w:tc>
              <w:tc>
                <w:tcPr>
                  <w:tcW w:w="2693" w:type="dxa"/>
                  <w:vAlign w:val="center"/>
                </w:tcPr>
                <w:p>
                  <w:pPr>
                    <w:pStyle w:val="56"/>
                  </w:pPr>
                  <w:r>
                    <w:rPr>
                      <w:rFonts w:hint="eastAsia"/>
                    </w:rPr>
                    <w:t>生化分析仪</w:t>
                  </w:r>
                </w:p>
              </w:tc>
              <w:tc>
                <w:tcPr>
                  <w:tcW w:w="993" w:type="dxa"/>
                  <w:vAlign w:val="center"/>
                </w:tcPr>
                <w:p>
                  <w:pPr>
                    <w:pStyle w:val="56"/>
                  </w:pPr>
                  <w:r>
                    <w:rPr>
                      <w:rFonts w:hint="eastAsia"/>
                    </w:rPr>
                    <w:t>2</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pPr>
                  <w:r>
                    <w:rPr>
                      <w:rFonts w:hint="eastAsia"/>
                    </w:rPr>
                    <w:t>化学发光仪</w:t>
                  </w:r>
                </w:p>
              </w:tc>
              <w:tc>
                <w:tcPr>
                  <w:tcW w:w="993" w:type="dxa"/>
                  <w:vAlign w:val="center"/>
                </w:tcPr>
                <w:p>
                  <w:pPr>
                    <w:pStyle w:val="56"/>
                  </w:pPr>
                  <w:r>
                    <w:rPr>
                      <w:rFonts w:hint="eastAsia"/>
                    </w:rPr>
                    <w:t>4</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酶免系统</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全自动免疫荧光</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冰箱</w:t>
                  </w:r>
                </w:p>
              </w:tc>
              <w:tc>
                <w:tcPr>
                  <w:tcW w:w="993" w:type="dxa"/>
                  <w:vAlign w:val="center"/>
                </w:tcPr>
                <w:p>
                  <w:pPr>
                    <w:pStyle w:val="56"/>
                  </w:pPr>
                  <w:r>
                    <w:rPr>
                      <w:rFonts w:hint="eastAsia"/>
                    </w:rPr>
                    <w:t>4</w:t>
                  </w:r>
                  <w:r>
                    <w:rPr>
                      <w:rFonts w:hint="eastAsia"/>
                      <w:lang w:eastAsia="zh-CN"/>
                    </w:rPr>
                    <w:t>台</w:t>
                  </w:r>
                </w:p>
              </w:tc>
              <w:tc>
                <w:tcPr>
                  <w:tcW w:w="2102" w:type="dxa"/>
                  <w:vAlign w:val="center"/>
                </w:tcPr>
                <w:p>
                  <w:pPr>
                    <w:pStyle w:val="56"/>
                    <w:rPr>
                      <w:lang w:eastAsia="zh-CN"/>
                    </w:rPr>
                  </w:pPr>
                  <w:r>
                    <w:rPr>
                      <w:rFonts w:hint="eastAsia"/>
                    </w:rPr>
                    <w:t>澳柯玛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pPr>
                  <w:r>
                    <w:rPr>
                      <w:rFonts w:hint="eastAsia"/>
                    </w:rPr>
                    <w:t>低速离心机</w:t>
                  </w:r>
                </w:p>
              </w:tc>
              <w:tc>
                <w:tcPr>
                  <w:tcW w:w="993" w:type="dxa"/>
                  <w:vAlign w:val="center"/>
                </w:tcPr>
                <w:p>
                  <w:pPr>
                    <w:pStyle w:val="56"/>
                  </w:pPr>
                  <w:r>
                    <w:rPr>
                      <w:rFonts w:hint="eastAsia"/>
                    </w:rPr>
                    <w:t>6</w:t>
                  </w:r>
                  <w:r>
                    <w:rPr>
                      <w:rFonts w:hint="eastAsia"/>
                      <w:lang w:eastAsia="zh-CN"/>
                    </w:rPr>
                    <w:t>台</w:t>
                  </w:r>
                </w:p>
              </w:tc>
              <w:tc>
                <w:tcPr>
                  <w:tcW w:w="2102" w:type="dxa"/>
                  <w:vAlign w:val="center"/>
                </w:tcPr>
                <w:p>
                  <w:pPr>
                    <w:pStyle w:val="56"/>
                  </w:pPr>
                  <w:r>
                    <w:rPr>
                      <w:rFonts w:hint="eastAsia"/>
                    </w:rPr>
                    <w:t>山东博科</w:t>
                  </w:r>
                  <w:r>
                    <w:t>BL-4Mi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lang w:eastAsia="zh-CN"/>
                    </w:rPr>
                    <w:t>生物安全柜</w:t>
                  </w:r>
                </w:p>
              </w:tc>
              <w:tc>
                <w:tcPr>
                  <w:tcW w:w="993" w:type="dxa"/>
                  <w:vAlign w:val="center"/>
                </w:tcPr>
                <w:p>
                  <w:pPr>
                    <w:pStyle w:val="56"/>
                    <w:rPr>
                      <w:lang w:eastAsia="zh-CN"/>
                    </w:rPr>
                  </w:pPr>
                  <w:r>
                    <w:rPr>
                      <w:rFonts w:hint="eastAsia"/>
                      <w:lang w:eastAsia="zh-CN"/>
                    </w:rPr>
                    <w:t>4台</w:t>
                  </w:r>
                </w:p>
              </w:tc>
              <w:tc>
                <w:tcPr>
                  <w:tcW w:w="2102" w:type="dxa"/>
                  <w:vAlign w:val="center"/>
                </w:tcPr>
                <w:p>
                  <w:pPr>
                    <w:pStyle w:val="56"/>
                  </w:pPr>
                  <w:r>
                    <w:rPr>
                      <w:rFonts w:hint="eastAsia"/>
                    </w:rPr>
                    <w:t>济南鑫贝西</w:t>
                  </w:r>
                  <w:r>
                    <w:t>BSC-1500IA2-X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串联质谱</w:t>
                  </w:r>
                  <w:r>
                    <w:rPr>
                      <w:rFonts w:hint="eastAsia"/>
                      <w:lang w:eastAsia="zh-CN"/>
                    </w:rPr>
                    <w:t>仪</w:t>
                  </w:r>
                </w:p>
              </w:tc>
              <w:tc>
                <w:tcPr>
                  <w:tcW w:w="993" w:type="dxa"/>
                  <w:vAlign w:val="center"/>
                </w:tcPr>
                <w:p>
                  <w:pPr>
                    <w:pStyle w:val="56"/>
                  </w:pPr>
                  <w:r>
                    <w:rPr>
                      <w:rFonts w:hint="eastAsia"/>
                    </w:rPr>
                    <w:t>2</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vAlign w:val="center"/>
                </w:tcPr>
                <w:p>
                  <w:pPr>
                    <w:pStyle w:val="56"/>
                    <w:rPr>
                      <w:lang w:eastAsia="zh-CN"/>
                    </w:rPr>
                  </w:pPr>
                  <w:r>
                    <w:rPr>
                      <w:rFonts w:hint="eastAsia"/>
                      <w:lang w:eastAsia="zh-CN"/>
                    </w:rPr>
                    <w:t>临检检验室</w:t>
                  </w:r>
                </w:p>
              </w:tc>
              <w:tc>
                <w:tcPr>
                  <w:tcW w:w="2693" w:type="dxa"/>
                  <w:vAlign w:val="center"/>
                </w:tcPr>
                <w:p>
                  <w:pPr>
                    <w:pStyle w:val="56"/>
                  </w:pPr>
                  <w:r>
                    <w:rPr>
                      <w:rFonts w:hint="eastAsia"/>
                    </w:rPr>
                    <w:t>血细胞分析仪</w:t>
                  </w:r>
                </w:p>
              </w:tc>
              <w:tc>
                <w:tcPr>
                  <w:tcW w:w="993" w:type="dxa"/>
                  <w:vAlign w:val="center"/>
                </w:tcPr>
                <w:p>
                  <w:pPr>
                    <w:pStyle w:val="56"/>
                  </w:pPr>
                  <w:r>
                    <w:rPr>
                      <w:rFonts w:hint="eastAsia"/>
                    </w:rPr>
                    <w:t>2</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pPr>
                  <w:r>
                    <w:rPr>
                      <w:rFonts w:hint="eastAsia"/>
                    </w:rPr>
                    <w:t>尿液分析仪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特定蛋白分析仪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流式细胞仪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pPr>
                </w:p>
              </w:tc>
              <w:tc>
                <w:tcPr>
                  <w:tcW w:w="2693" w:type="dxa"/>
                  <w:vAlign w:val="center"/>
                </w:tcPr>
                <w:p>
                  <w:pPr>
                    <w:pStyle w:val="56"/>
                  </w:pPr>
                  <w:r>
                    <w:rPr>
                      <w:rFonts w:hint="eastAsia"/>
                    </w:rPr>
                    <w:t>大便分析仪</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Merge w:val="continue"/>
                  <w:vAlign w:val="center"/>
                </w:tcPr>
                <w:p>
                  <w:pPr>
                    <w:pStyle w:val="56"/>
                  </w:pPr>
                </w:p>
              </w:tc>
              <w:tc>
                <w:tcPr>
                  <w:tcW w:w="2693" w:type="dxa"/>
                  <w:vAlign w:val="center"/>
                </w:tcPr>
                <w:p>
                  <w:pPr>
                    <w:pStyle w:val="56"/>
                    <w:rPr>
                      <w:lang w:eastAsia="zh-CN"/>
                    </w:rPr>
                  </w:pPr>
                  <w:r>
                    <w:rPr>
                      <w:rFonts w:hint="eastAsia"/>
                      <w:lang w:eastAsia="zh-CN"/>
                    </w:rPr>
                    <w:t>生物安全柜</w:t>
                  </w:r>
                </w:p>
              </w:tc>
              <w:tc>
                <w:tcPr>
                  <w:tcW w:w="993" w:type="dxa"/>
                  <w:vAlign w:val="center"/>
                </w:tcPr>
                <w:p>
                  <w:pPr>
                    <w:pStyle w:val="56"/>
                    <w:rPr>
                      <w:lang w:eastAsia="zh-CN"/>
                    </w:rPr>
                  </w:pPr>
                  <w:r>
                    <w:rPr>
                      <w:lang w:eastAsia="zh-CN"/>
                    </w:rPr>
                    <w:t>3</w:t>
                  </w:r>
                  <w:r>
                    <w:rPr>
                      <w:rFonts w:hint="eastAsia"/>
                      <w:lang w:eastAsia="zh-CN"/>
                    </w:rPr>
                    <w:t>台</w:t>
                  </w:r>
                </w:p>
              </w:tc>
              <w:tc>
                <w:tcPr>
                  <w:tcW w:w="2102" w:type="dxa"/>
                  <w:vAlign w:val="center"/>
                </w:tcPr>
                <w:p>
                  <w:pPr>
                    <w:pStyle w:val="56"/>
                  </w:pPr>
                  <w:r>
                    <w:rPr>
                      <w:rFonts w:hint="eastAsia"/>
                    </w:rPr>
                    <w:t>济南鑫贝西</w:t>
                  </w:r>
                  <w:r>
                    <w:t>BSC-1500IA2-X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vAlign w:val="center"/>
                </w:tcPr>
                <w:p>
                  <w:pPr>
                    <w:pStyle w:val="56"/>
                  </w:pPr>
                  <w:r>
                    <w:rPr>
                      <w:rFonts w:hint="eastAsia"/>
                      <w:lang w:eastAsia="zh-CN"/>
                    </w:rPr>
                    <w:t>公用</w:t>
                  </w:r>
                </w:p>
              </w:tc>
              <w:tc>
                <w:tcPr>
                  <w:tcW w:w="2693" w:type="dxa"/>
                  <w:vAlign w:val="center"/>
                </w:tcPr>
                <w:p>
                  <w:pPr>
                    <w:pStyle w:val="56"/>
                    <w:rPr>
                      <w:lang w:eastAsia="zh-CN"/>
                    </w:rPr>
                  </w:pPr>
                  <w:r>
                    <w:rPr>
                      <w:rFonts w:hint="eastAsia"/>
                      <w:lang w:eastAsia="zh-CN"/>
                    </w:rPr>
                    <w:t>纯水机</w:t>
                  </w:r>
                </w:p>
              </w:tc>
              <w:tc>
                <w:tcPr>
                  <w:tcW w:w="993" w:type="dxa"/>
                  <w:vAlign w:val="center"/>
                </w:tcPr>
                <w:p>
                  <w:pPr>
                    <w:pStyle w:val="56"/>
                  </w:pPr>
                  <w:r>
                    <w:rPr>
                      <w:rFonts w:hint="eastAsia"/>
                    </w:rPr>
                    <w:t>1</w:t>
                  </w:r>
                  <w:r>
                    <w:rPr>
                      <w:rFonts w:hint="eastAsia"/>
                      <w:lang w:eastAsia="zh-CN"/>
                    </w:rPr>
                    <w:t>台</w:t>
                  </w:r>
                </w:p>
              </w:tc>
              <w:tc>
                <w:tcPr>
                  <w:tcW w:w="2102" w:type="dxa"/>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rPr>
                      <w:lang w:eastAsia="zh-CN"/>
                    </w:rPr>
                  </w:pPr>
                </w:p>
              </w:tc>
              <w:tc>
                <w:tcPr>
                  <w:tcW w:w="2693" w:type="dxa"/>
                  <w:vAlign w:val="center"/>
                </w:tcPr>
                <w:p>
                  <w:pPr>
                    <w:pStyle w:val="56"/>
                    <w:rPr>
                      <w:lang w:eastAsia="zh-CN"/>
                    </w:rPr>
                  </w:pPr>
                  <w:r>
                    <w:rPr>
                      <w:rFonts w:hint="eastAsia"/>
                      <w:lang w:eastAsia="zh-CN"/>
                    </w:rPr>
                    <w:t>高压灭菌锅</w:t>
                  </w:r>
                </w:p>
              </w:tc>
              <w:tc>
                <w:tcPr>
                  <w:tcW w:w="993" w:type="dxa"/>
                  <w:vAlign w:val="center"/>
                </w:tcPr>
                <w:p>
                  <w:pPr>
                    <w:pStyle w:val="56"/>
                  </w:pPr>
                  <w:r>
                    <w:rPr>
                      <w:rFonts w:hint="eastAsia"/>
                      <w:lang w:eastAsia="zh-CN"/>
                    </w:rPr>
                    <w:t>1</w:t>
                  </w:r>
                  <w:r>
                    <w:rPr>
                      <w:lang w:eastAsia="zh-CN"/>
                    </w:rPr>
                    <w:t>7</w:t>
                  </w:r>
                  <w:r>
                    <w:rPr>
                      <w:rFonts w:hint="eastAsia"/>
                      <w:lang w:eastAsia="zh-CN"/>
                    </w:rPr>
                    <w:t>个</w:t>
                  </w:r>
                </w:p>
              </w:tc>
              <w:tc>
                <w:tcPr>
                  <w:tcW w:w="2102" w:type="dxa"/>
                  <w:vAlign w:val="center"/>
                </w:tcPr>
                <w:p>
                  <w:pPr>
                    <w:pStyle w:val="56"/>
                    <w:rPr>
                      <w:lang w:eastAsia="zh-CN"/>
                    </w:rPr>
                  </w:pPr>
                  <w:r>
                    <w:rPr>
                      <w:rFonts w:hint="eastAsia"/>
                    </w:rPr>
                    <w:t>博科</w:t>
                  </w:r>
                  <w:r>
                    <w:t>BKQ-B10011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56"/>
                    <w:rPr>
                      <w:lang w:eastAsia="zh-CN"/>
                    </w:rPr>
                  </w:pPr>
                </w:p>
              </w:tc>
              <w:tc>
                <w:tcPr>
                  <w:tcW w:w="2693" w:type="dxa"/>
                  <w:vAlign w:val="center"/>
                </w:tcPr>
                <w:p>
                  <w:pPr>
                    <w:pStyle w:val="56"/>
                    <w:rPr>
                      <w:lang w:eastAsia="zh-CN"/>
                    </w:rPr>
                  </w:pPr>
                  <w:r>
                    <w:rPr>
                      <w:rFonts w:hint="eastAsia"/>
                      <w:lang w:eastAsia="zh-CN"/>
                    </w:rPr>
                    <w:t>污泥脱水机</w:t>
                  </w:r>
                </w:p>
              </w:tc>
              <w:tc>
                <w:tcPr>
                  <w:tcW w:w="993" w:type="dxa"/>
                  <w:vAlign w:val="center"/>
                </w:tcPr>
                <w:p>
                  <w:pPr>
                    <w:pStyle w:val="56"/>
                    <w:rPr>
                      <w:lang w:eastAsia="zh-CN"/>
                    </w:rPr>
                  </w:pPr>
                  <w:r>
                    <w:rPr>
                      <w:rFonts w:hint="eastAsia"/>
                      <w:lang w:eastAsia="zh-CN"/>
                    </w:rPr>
                    <w:t>1台</w:t>
                  </w:r>
                </w:p>
              </w:tc>
              <w:tc>
                <w:tcPr>
                  <w:tcW w:w="2102" w:type="dxa"/>
                  <w:vAlign w:val="center"/>
                </w:tcPr>
                <w:p>
                  <w:pPr>
                    <w:pStyle w:val="56"/>
                    <w:rPr>
                      <w:lang w:eastAsia="zh-CN"/>
                    </w:rPr>
                  </w:pPr>
                  <w:r>
                    <w:rPr>
                      <w:rFonts w:hint="eastAsia"/>
                      <w:lang w:eastAsia="zh-CN"/>
                    </w:rPr>
                    <w:t>/</w:t>
                  </w:r>
                </w:p>
              </w:tc>
            </w:tr>
          </w:tbl>
          <w:p>
            <w:pPr>
              <w:pStyle w:val="56"/>
            </w:pPr>
          </w:p>
          <w:bookmarkEnd w:id="54"/>
          <w:p>
            <w:pPr>
              <w:pStyle w:val="4"/>
              <w:rPr>
                <w:lang w:eastAsia="zh-CN"/>
              </w:rPr>
            </w:pPr>
            <w:bookmarkStart w:id="58" w:name="_Toc120889798"/>
            <w:bookmarkStart w:id="59" w:name="_Toc121147727"/>
            <w:bookmarkStart w:id="60" w:name="_Toc122338495"/>
            <w:r>
              <w:rPr>
                <w:rFonts w:hint="eastAsia"/>
                <w:lang w:eastAsia="zh-CN"/>
              </w:rPr>
              <w:t>劳动定员和生产制度</w:t>
            </w:r>
            <w:bookmarkEnd w:id="58"/>
            <w:bookmarkEnd w:id="59"/>
            <w:bookmarkEnd w:id="60"/>
          </w:p>
          <w:p>
            <w:pPr>
              <w:ind w:firstLine="480"/>
              <w:rPr>
                <w:lang w:val="zh-CN"/>
              </w:rPr>
            </w:pPr>
            <w:r>
              <w:rPr>
                <w:rFonts w:hint="eastAsia"/>
                <w:lang w:val="zh-CN"/>
              </w:rPr>
              <w:t>本项目员工总数为</w:t>
            </w:r>
            <w:r>
              <w:rPr>
                <w:lang w:val="zh-CN"/>
              </w:rPr>
              <w:t>15</w:t>
            </w:r>
            <w:r>
              <w:rPr>
                <w:rFonts w:hint="eastAsia"/>
                <w:lang w:val="zh-CN"/>
              </w:rPr>
              <w:t>人，年工作时间3</w:t>
            </w:r>
            <w:r>
              <w:rPr>
                <w:lang w:val="zh-CN"/>
              </w:rPr>
              <w:t>65</w:t>
            </w:r>
            <w:r>
              <w:rPr>
                <w:rFonts w:hint="eastAsia"/>
                <w:lang w:val="zh-CN"/>
              </w:rPr>
              <w:t>天，每天工作8小时，</w:t>
            </w:r>
            <w:r>
              <w:rPr>
                <w:rFonts w:hint="eastAsia"/>
              </w:rPr>
              <w:t>项目</w:t>
            </w:r>
            <w:r>
              <w:t>内设员工宿舍</w:t>
            </w:r>
            <w:r>
              <w:rPr>
                <w:rFonts w:hint="eastAsia"/>
                <w:lang w:val="zh-CN"/>
              </w:rPr>
              <w:t>。</w:t>
            </w:r>
          </w:p>
          <w:p>
            <w:pPr>
              <w:pStyle w:val="4"/>
              <w:rPr>
                <w:lang w:eastAsia="zh-CN"/>
              </w:rPr>
            </w:pPr>
            <w:bookmarkStart w:id="61" w:name="_Toc120889799"/>
            <w:bookmarkStart w:id="62" w:name="_Toc121147728"/>
            <w:bookmarkStart w:id="63" w:name="_Toc122338496"/>
            <w:r>
              <w:rPr>
                <w:rFonts w:hint="eastAsia"/>
                <w:lang w:eastAsia="zh-CN"/>
              </w:rPr>
              <w:t>项目总平面布置</w:t>
            </w:r>
            <w:bookmarkEnd w:id="61"/>
            <w:bookmarkEnd w:id="62"/>
            <w:bookmarkEnd w:id="63"/>
          </w:p>
          <w:p>
            <w:pPr>
              <w:ind w:firstLine="480"/>
              <w:rPr>
                <w:lang w:val="zh-CN"/>
              </w:rPr>
            </w:pPr>
            <w:r>
              <w:rPr>
                <w:rFonts w:hint="eastAsia"/>
                <w:lang w:val="zh-CN"/>
              </w:rPr>
              <w:t>（1）企业平面布局</w:t>
            </w:r>
          </w:p>
          <w:p>
            <w:pPr>
              <w:ind w:firstLine="480"/>
              <w:rPr>
                <w:lang w:val="zh-CN"/>
              </w:rPr>
            </w:pPr>
            <w:r>
              <w:rPr>
                <w:rFonts w:hint="eastAsia"/>
                <w:lang w:val="zh-CN"/>
              </w:rPr>
              <w:t>项目所在建筑为一栋</w:t>
            </w:r>
            <w:r>
              <w:rPr>
                <w:lang w:val="zh-CN"/>
              </w:rPr>
              <w:t>5</w:t>
            </w:r>
            <w:r>
              <w:rPr>
                <w:rFonts w:hint="eastAsia"/>
                <w:lang w:val="zh-CN"/>
              </w:rPr>
              <w:t>层建筑，项目利用原有建筑的一、二层进行建设。</w:t>
            </w:r>
          </w:p>
          <w:p>
            <w:pPr>
              <w:ind w:firstLine="480"/>
              <w:rPr>
                <w:lang w:val="zh-CN"/>
              </w:rPr>
            </w:pPr>
            <w:r>
              <w:rPr>
                <w:rFonts w:hint="eastAsia"/>
                <w:lang w:val="zh-CN"/>
              </w:rPr>
              <w:t>第一层西侧为办公区、卫生间、换衣间等，北侧及中部为样品制备间、扩增及分析间、南侧南侧包括有危化品库、样品储存间、普通样品接受室、试剂机甲耗材库，东侧主要为洁具间、配电房、储物间、废弃物暂存室。</w:t>
            </w:r>
          </w:p>
          <w:p>
            <w:pPr>
              <w:ind w:firstLine="480"/>
              <w:rPr>
                <w:lang w:val="zh-CN"/>
              </w:rPr>
            </w:pPr>
            <w:r>
              <w:rPr>
                <w:rFonts w:hint="eastAsia"/>
                <w:lang w:val="zh-CN"/>
              </w:rPr>
              <w:t>第二层西侧为办公区、卫生间、换衣间，北侧为检验区，东侧为空调机房、纯水间、样本暂存间、洗消室，南侧为尿粪分析室、微生物前处理室，血清学检验室，中部位生化、免疫、荧光落地设备区域。</w:t>
            </w:r>
          </w:p>
          <w:p>
            <w:pPr>
              <w:ind w:firstLine="480"/>
              <w:rPr>
                <w:lang w:val="zh-CN"/>
              </w:rPr>
            </w:pPr>
            <w:r>
              <w:rPr>
                <w:rFonts w:hint="eastAsia"/>
                <w:lang w:val="zh-CN"/>
              </w:rPr>
              <w:t>从项目总平面布置可以看出，建设项目平面布置充分考虑了各功能分区，可保证工艺流程顺畅，生产线布置短捷，并符合消防、安全、工业卫生的要求；生产区各工段布置紧凑，可有利于节能降耗，减少物料流失。项目平面布置图见附图</w:t>
            </w:r>
            <w:r>
              <w:rPr>
                <w:lang w:val="zh-CN"/>
              </w:rPr>
              <w:t>3</w:t>
            </w:r>
            <w:r>
              <w:rPr>
                <w:rFonts w:hint="eastAsia"/>
                <w:lang w:val="zh-CN"/>
              </w:rPr>
              <w:t>。</w:t>
            </w:r>
          </w:p>
          <w:p>
            <w:pPr>
              <w:ind w:firstLine="480"/>
              <w:rPr>
                <w:lang w:val="zh-CN"/>
              </w:rPr>
            </w:pPr>
            <w:r>
              <w:rPr>
                <w:rFonts w:hint="eastAsia"/>
                <w:lang w:val="zh-CN"/>
              </w:rPr>
              <w:t>（2）四至情况</w:t>
            </w:r>
          </w:p>
          <w:p>
            <w:pPr>
              <w:ind w:firstLine="480"/>
              <w:rPr>
                <w:lang w:val="zh-CN"/>
              </w:rPr>
            </w:pPr>
            <w:r>
              <w:rPr>
                <w:rFonts w:hint="eastAsia"/>
                <w:lang w:val="zh-CN"/>
              </w:rPr>
              <w:t>本项目位于茂名市高新区恒基路99号大院B仓一、二楼及建筑外东侧外延3米范围，该楼层三楼为空闲用地，四、五楼为恒福制药有限公司的制药车间，项目东侧</w:t>
            </w:r>
            <w:r>
              <w:rPr>
                <w:lang w:val="zh-CN"/>
              </w:rPr>
              <w:t>129</w:t>
            </w:r>
            <w:r>
              <w:rPr>
                <w:rFonts w:hint="eastAsia"/>
                <w:lang w:val="zh-CN"/>
              </w:rPr>
              <w:t>米为高水公路，南侧3</w:t>
            </w:r>
            <w:r>
              <w:rPr>
                <w:lang w:val="zh-CN"/>
              </w:rPr>
              <w:t>4</w:t>
            </w:r>
            <w:r>
              <w:rPr>
                <w:rFonts w:hint="eastAsia"/>
                <w:lang w:val="zh-CN"/>
              </w:rPr>
              <w:t>米处为圆通速递，西侧为树林地，北侧</w:t>
            </w:r>
            <w:r>
              <w:rPr>
                <w:lang w:val="zh-CN"/>
              </w:rPr>
              <w:t>7</w:t>
            </w:r>
            <w:r>
              <w:rPr>
                <w:rFonts w:hint="eastAsia"/>
                <w:lang w:val="zh-CN"/>
              </w:rPr>
              <w:t>米为圆梦园小区。项目四至环境实景图见附图</w:t>
            </w:r>
            <w:r>
              <w:rPr>
                <w:lang w:val="zh-CN"/>
              </w:rPr>
              <w:t>5</w:t>
            </w:r>
            <w:r>
              <w:rPr>
                <w:rFonts w:hint="eastAsia"/>
                <w:lang w:val="zh-CN"/>
              </w:rPr>
              <w:t>。</w:t>
            </w:r>
          </w:p>
          <w:p>
            <w:pPr>
              <w:pStyle w:val="4"/>
              <w:rPr>
                <w:lang w:eastAsia="zh-CN"/>
              </w:rPr>
            </w:pPr>
            <w:bookmarkStart w:id="64" w:name="_Toc121147729"/>
            <w:bookmarkStart w:id="65" w:name="_Toc122338497"/>
            <w:r>
              <w:rPr>
                <w:rFonts w:hint="eastAsia"/>
                <w:lang w:eastAsia="zh-CN"/>
              </w:rPr>
              <w:t>公用工程</w:t>
            </w:r>
            <w:bookmarkEnd w:id="64"/>
            <w:bookmarkEnd w:id="65"/>
          </w:p>
          <w:p>
            <w:pPr>
              <w:ind w:firstLine="480"/>
              <w:rPr>
                <w:lang w:val="zh-CN"/>
              </w:rPr>
            </w:pPr>
            <w:r>
              <w:rPr>
                <w:rFonts w:hint="eastAsia"/>
                <w:lang w:val="zh-CN"/>
              </w:rPr>
              <w:t>（1）供电</w:t>
            </w:r>
          </w:p>
          <w:p>
            <w:pPr>
              <w:ind w:firstLine="480"/>
              <w:rPr>
                <w:lang w:val="zh-CN"/>
              </w:rPr>
            </w:pPr>
            <w:r>
              <w:rPr>
                <w:rFonts w:hint="eastAsia"/>
                <w:lang w:val="zh-CN"/>
              </w:rPr>
              <w:t>本项目供电来自市政供电网。项目不设备用发电机，年用电量30万kWh/a。</w:t>
            </w:r>
          </w:p>
          <w:p>
            <w:pPr>
              <w:ind w:firstLine="480"/>
              <w:rPr>
                <w:lang w:val="zh-CN"/>
              </w:rPr>
            </w:pPr>
            <w:r>
              <w:rPr>
                <w:rFonts w:hint="eastAsia"/>
                <w:lang w:val="zh-CN"/>
              </w:rPr>
              <w:t>（2）供水</w:t>
            </w:r>
          </w:p>
          <w:p>
            <w:pPr>
              <w:ind w:firstLine="480"/>
            </w:pPr>
            <w:r>
              <w:rPr>
                <w:rFonts w:hint="eastAsia"/>
                <w:lang w:val="zh-CN"/>
              </w:rPr>
              <w:t>根据计算结果，本项目用水主要是生活用水</w:t>
            </w:r>
            <w:r>
              <w:rPr>
                <w:lang w:val="zh-CN"/>
              </w:rPr>
              <w:t>225</w:t>
            </w:r>
            <w:r>
              <w:rPr>
                <w:rFonts w:hint="eastAsia"/>
                <w:lang w:val="zh-CN"/>
              </w:rPr>
              <w:t>t/a，实验室用水9</w:t>
            </w:r>
            <w:r>
              <w:rPr>
                <w:lang w:val="zh-CN"/>
              </w:rPr>
              <w:t>47.41</w:t>
            </w:r>
            <w:r>
              <w:rPr>
                <w:rFonts w:hint="eastAsia"/>
                <w:lang w:val="zh-CN"/>
              </w:rPr>
              <w:t>t/a（包括纯水制备用水4</w:t>
            </w:r>
            <w:r>
              <w:rPr>
                <w:lang w:val="zh-CN"/>
              </w:rPr>
              <w:t>00</w:t>
            </w:r>
            <w:r>
              <w:rPr>
                <w:rFonts w:hint="eastAsia"/>
                <w:lang w:val="zh-CN"/>
              </w:rPr>
              <w:t>t/a，仪器清洗废水1</w:t>
            </w:r>
            <w:r>
              <w:rPr>
                <w:lang w:val="zh-CN"/>
              </w:rPr>
              <w:t>82.5</w:t>
            </w:r>
            <w:r>
              <w:rPr>
                <w:rFonts w:hint="eastAsia"/>
                <w:lang w:val="zh-CN"/>
              </w:rPr>
              <w:t>t/a，地面清洗用水</w:t>
            </w:r>
            <w:r>
              <w:t>364.91t/a</w:t>
            </w:r>
            <w:r>
              <w:rPr>
                <w:rFonts w:hint="eastAsia"/>
                <w:lang w:val="zh-CN"/>
              </w:rPr>
              <w:t>）</w:t>
            </w:r>
            <w:r>
              <w:rPr>
                <w:rFonts w:hint="eastAsia"/>
              </w:rPr>
              <w:t>。</w:t>
            </w:r>
          </w:p>
          <w:p>
            <w:pPr>
              <w:ind w:firstLine="480"/>
              <w:rPr>
                <w:lang w:val="zh-CN"/>
              </w:rPr>
            </w:pPr>
            <w:r>
              <w:rPr>
                <w:rFonts w:hint="eastAsia"/>
                <w:lang w:val="zh-CN"/>
              </w:rPr>
              <w:t>（3）排水</w:t>
            </w:r>
          </w:p>
          <w:p>
            <w:pPr>
              <w:ind w:firstLine="480"/>
              <w:rPr>
                <w:lang w:val="zh-CN"/>
              </w:rPr>
            </w:pPr>
            <w:r>
              <w:rPr>
                <w:rFonts w:hint="eastAsia"/>
                <w:lang w:val="zh-CN"/>
              </w:rPr>
              <w:t>根据章节4</w:t>
            </w:r>
            <w:r>
              <w:rPr>
                <w:lang w:val="zh-CN"/>
              </w:rPr>
              <w:t>.2.1</w:t>
            </w:r>
            <w:r>
              <w:rPr>
                <w:rFonts w:hint="eastAsia"/>
                <w:lang w:val="zh-CN"/>
              </w:rPr>
              <w:t>，本项目用水由市政供水管网提供，主要用水为员工生活用水和实验室用水。实验室用水包括有：纯水制备用水、器具清洗用水、地面清洗用水。其中制备的纯水用途包括高压锅用水、仪器后清洗用水。因此项目排放废水为员工生活污水、实验器具后清洗废水、纯水制备产生的浓水、高压锅更换废水、地面清洗废水。</w:t>
            </w:r>
          </w:p>
          <w:p>
            <w:pPr>
              <w:ind w:firstLine="480"/>
              <w:rPr>
                <w:lang w:val="zh-CN"/>
              </w:rPr>
            </w:pPr>
            <w:r>
              <w:rPr>
                <w:rFonts w:hint="eastAsia"/>
                <w:lang w:val="zh-CN"/>
              </w:rPr>
              <w:t>项目总用水量为</w:t>
            </w:r>
            <w:r>
              <w:rPr>
                <w:lang w:val="zh-CN"/>
              </w:rPr>
              <w:t>1172.41</w:t>
            </w:r>
            <w:r>
              <w:rPr>
                <w:rFonts w:hint="eastAsia"/>
                <w:lang w:val="zh-CN"/>
              </w:rPr>
              <w:t>t/a，废水的排放量为</w:t>
            </w:r>
            <w:r>
              <w:rPr>
                <w:lang w:val="zh-CN"/>
              </w:rPr>
              <w:t>895.079</w:t>
            </w:r>
            <w:r>
              <w:rPr>
                <w:rFonts w:hint="eastAsia"/>
                <w:lang w:val="zh-CN"/>
              </w:rPr>
              <w:t>t/a，其中生活废水2</w:t>
            </w:r>
            <w:r>
              <w:rPr>
                <w:lang w:val="zh-CN"/>
              </w:rPr>
              <w:t>02.5</w:t>
            </w:r>
            <w:r>
              <w:rPr>
                <w:rFonts w:hint="eastAsia"/>
                <w:lang w:val="zh-CN"/>
              </w:rPr>
              <w:t>t/a，纯水制备浓水</w:t>
            </w:r>
            <w:r>
              <w:rPr>
                <w:lang w:val="zh-CN"/>
              </w:rPr>
              <w:t>79.99</w:t>
            </w:r>
            <w:r>
              <w:rPr>
                <w:rFonts w:hint="eastAsia"/>
                <w:lang w:val="zh-CN"/>
              </w:rPr>
              <w:t>t/a，实验器具后清洗废水</w:t>
            </w:r>
            <w:r>
              <w:rPr>
                <w:lang w:val="zh-CN"/>
              </w:rPr>
              <w:t>273.969</w:t>
            </w:r>
            <w:r>
              <w:rPr>
                <w:rFonts w:hint="eastAsia"/>
                <w:lang w:val="zh-CN"/>
              </w:rPr>
              <w:t>t/a，高压锅灭菌更换废水</w:t>
            </w:r>
            <w:r>
              <w:t>10.2t/a</w:t>
            </w:r>
            <w:r>
              <w:rPr>
                <w:rFonts w:hint="eastAsia"/>
              </w:rPr>
              <w:t>，地面清洗废水</w:t>
            </w:r>
            <w:r>
              <w:t>328.42t/a</w:t>
            </w:r>
            <w:r>
              <w:rPr>
                <w:rFonts w:hint="eastAsia"/>
                <w:lang w:val="zh-CN"/>
              </w:rPr>
              <w:t>。企业产生的废水通过企业自建的污水处理厂处理达标后，通过园区管道排放至茂名高新技术产业开发区污水处理厂进行深度处理后排放。</w:t>
            </w:r>
          </w:p>
          <w:p>
            <w:pPr>
              <w:pStyle w:val="56"/>
              <w:keepNext/>
            </w:pPr>
            <w:r>
              <w:drawing>
                <wp:inline distT="0" distB="0" distL="0" distR="0">
                  <wp:extent cx="4421505" cy="2529840"/>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cstate="email"/>
                          <a:stretch>
                            <a:fillRect/>
                          </a:stretch>
                        </pic:blipFill>
                        <pic:spPr>
                          <a:xfrm>
                            <a:off x="0" y="0"/>
                            <a:ext cx="4421505" cy="2529840"/>
                          </a:xfrm>
                          <a:prstGeom prst="rect">
                            <a:avLst/>
                          </a:prstGeom>
                        </pic:spPr>
                      </pic:pic>
                    </a:graphicData>
                  </a:graphic>
                </wp:inline>
              </w:drawing>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项目水平衡图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8" w:hRule="atLeast"/>
          <w:jc w:val="center"/>
        </w:trPr>
        <w:tc>
          <w:tcPr>
            <w:tcW w:w="1691" w:type="dxa"/>
            <w:vAlign w:val="center"/>
          </w:tcPr>
          <w:p>
            <w:pPr>
              <w:spacing w:line="240" w:lineRule="auto"/>
              <w:ind w:firstLine="0" w:firstLineChars="0"/>
              <w:jc w:val="center"/>
              <w:rPr>
                <w:szCs w:val="21"/>
              </w:rPr>
            </w:pPr>
            <w:r>
              <w:rPr>
                <w:rFonts w:hint="eastAsia"/>
                <w:szCs w:val="21"/>
              </w:rPr>
              <w:t>工艺流程和产排污环节</w:t>
            </w:r>
          </w:p>
        </w:tc>
        <w:tc>
          <w:tcPr>
            <w:tcW w:w="7179" w:type="dxa"/>
          </w:tcPr>
          <w:p>
            <w:pPr>
              <w:pStyle w:val="3"/>
              <w:rPr>
                <w:lang w:eastAsia="zh-CN"/>
              </w:rPr>
            </w:pPr>
            <w:bookmarkStart w:id="66" w:name="_Toc120889801"/>
            <w:bookmarkStart w:id="67" w:name="_Toc121147730"/>
            <w:bookmarkStart w:id="68" w:name="_Toc122338498"/>
            <w:r>
              <w:rPr>
                <w:rFonts w:hint="eastAsia"/>
                <w:lang w:eastAsia="zh-CN"/>
              </w:rPr>
              <w:t>施工期</w:t>
            </w:r>
            <w:bookmarkEnd w:id="66"/>
            <w:bookmarkEnd w:id="67"/>
            <w:bookmarkEnd w:id="68"/>
          </w:p>
          <w:p>
            <w:pPr>
              <w:ind w:firstLine="480"/>
            </w:pPr>
            <w:r>
              <w:t>本项目</w:t>
            </w:r>
            <w:r>
              <w:rPr>
                <w:rFonts w:hint="eastAsia"/>
              </w:rPr>
              <w:t>利用现有厂房</w:t>
            </w:r>
            <w:r>
              <w:t>，</w:t>
            </w:r>
            <w:r>
              <w:rPr>
                <w:rFonts w:hint="eastAsia"/>
              </w:rPr>
              <w:t>无土建等基础工程</w:t>
            </w:r>
            <w:r>
              <w:t>，仅作简单装修及设备安装即可。装修过程主要为电路系统和照明设备的简单安装、粉刷墙面；设备安装过程主要为设备的搬运、安装、调试，均由设备供应商负责。施工期环境影响主要为设备搬运、安装、调试噪声，设备包装材料以及废安装材料</w:t>
            </w:r>
            <w:r>
              <w:rPr>
                <w:rFonts w:hint="eastAsia"/>
              </w:rPr>
              <w:t>。</w:t>
            </w:r>
          </w:p>
          <w:p>
            <w:pPr>
              <w:pStyle w:val="3"/>
              <w:rPr>
                <w:lang w:eastAsia="zh-CN"/>
              </w:rPr>
            </w:pPr>
            <w:bookmarkStart w:id="69" w:name="_Toc120889802"/>
            <w:bookmarkStart w:id="70" w:name="_Toc121147731"/>
            <w:bookmarkStart w:id="71" w:name="_Toc122338499"/>
            <w:r>
              <w:rPr>
                <w:rFonts w:hint="eastAsia"/>
                <w:lang w:eastAsia="zh-CN"/>
              </w:rPr>
              <w:t>运营期</w:t>
            </w:r>
            <w:bookmarkEnd w:id="69"/>
            <w:bookmarkEnd w:id="70"/>
            <w:bookmarkEnd w:id="71"/>
          </w:p>
          <w:p>
            <w:pPr>
              <w:pStyle w:val="4"/>
              <w:rPr>
                <w:lang w:eastAsia="zh-CN"/>
              </w:rPr>
            </w:pPr>
            <w:bookmarkStart w:id="72" w:name="_Toc120889803"/>
            <w:bookmarkStart w:id="73" w:name="_Toc121147732"/>
            <w:bookmarkStart w:id="74" w:name="_Toc122338500"/>
            <w:r>
              <w:rPr>
                <w:rFonts w:hint="eastAsia"/>
                <w:lang w:eastAsia="zh-CN"/>
              </w:rPr>
              <w:t>运营期生产工艺流程</w:t>
            </w:r>
            <w:bookmarkEnd w:id="72"/>
            <w:bookmarkEnd w:id="73"/>
            <w:bookmarkEnd w:id="74"/>
          </w:p>
          <w:p>
            <w:pPr>
              <w:ind w:firstLine="480"/>
            </w:pPr>
            <w:r>
              <w:rPr>
                <w:rFonts w:hint="eastAsia"/>
              </w:rPr>
              <w:t>由于</w:t>
            </w:r>
            <w:r>
              <w:t>项目</w:t>
            </w:r>
            <w:r>
              <w:rPr>
                <w:rFonts w:hint="eastAsia"/>
              </w:rPr>
              <w:t>涉及新冠检测，因此</w:t>
            </w:r>
            <w:r>
              <w:t>按照</w:t>
            </w:r>
            <w:r>
              <w:rPr>
                <w:rFonts w:hint="eastAsia"/>
              </w:rPr>
              <w:t>加强型P</w:t>
            </w:r>
            <w:r>
              <w:t>2生物安全实验室标准建设，建成后主要从事对外部送入的血液、体液等标本等进行检验，不设门诊、体检和住院等项目。</w:t>
            </w:r>
          </w:p>
          <w:p>
            <w:pPr>
              <w:pStyle w:val="5"/>
              <w:rPr>
                <w:lang w:eastAsia="zh-CN"/>
              </w:rPr>
            </w:pPr>
            <w:r>
              <w:rPr>
                <w:rFonts w:hint="eastAsia"/>
                <w:lang w:eastAsia="zh-CN"/>
              </w:rPr>
              <w:t>项目整体流程</w:t>
            </w:r>
          </w:p>
          <w:p>
            <w:pPr>
              <w:pStyle w:val="56"/>
              <w:keepNext/>
            </w:pPr>
            <w:r>
              <w:drawing>
                <wp:inline distT="0" distB="0" distL="0" distR="0">
                  <wp:extent cx="4175125" cy="2221230"/>
                  <wp:effectExtent l="0" t="0" r="0" b="7620"/>
                  <wp:docPr id="67" name="图片 67" descr="E:\微信文件\WeChat Files\wxid_2b3cst8mfxqv22\FileStorage\Temp\1670506728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E:\微信文件\WeChat Files\wxid_2b3cst8mfxqv22\FileStorage\Temp\1670506728024.png"/>
                          <pic:cNvPicPr>
                            <a:picLocks noChangeAspect="1" noChangeArrowheads="1"/>
                          </pic:cNvPicPr>
                        </pic:nvPicPr>
                        <pic:blipFill>
                          <a:blip r:embed="rId20" cstate="email"/>
                          <a:srcRect/>
                          <a:stretch>
                            <a:fillRect/>
                          </a:stretch>
                        </pic:blipFill>
                        <pic:spPr>
                          <a:xfrm>
                            <a:off x="0" y="0"/>
                            <a:ext cx="4252573" cy="2262947"/>
                          </a:xfrm>
                          <a:prstGeom prst="rect">
                            <a:avLst/>
                          </a:prstGeom>
                          <a:noFill/>
                          <a:ln>
                            <a:noFill/>
                          </a:ln>
                        </pic:spPr>
                      </pic:pic>
                    </a:graphicData>
                  </a:graphic>
                </wp:inline>
              </w:drawing>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项目整体工艺流程图</w:t>
            </w:r>
          </w:p>
          <w:p>
            <w:pPr>
              <w:ind w:firstLine="480"/>
            </w:pPr>
            <w:r>
              <w:t>主要工序简述如下：项目设定医学检验科，整体检验过程工艺见</w:t>
            </w:r>
            <w:r>
              <w:rPr>
                <w:rFonts w:hint="eastAsia"/>
              </w:rPr>
              <w:t>上图</w:t>
            </w:r>
            <w:r>
              <w:t>，仅在前处理工序及样品检测工序有所不同，工艺流程说明如下：</w:t>
            </w:r>
          </w:p>
          <w:p>
            <w:pPr>
              <w:ind w:firstLine="480"/>
            </w:pPr>
            <w:r>
              <w:rPr>
                <w:rFonts w:hint="eastAsia"/>
              </w:rPr>
              <w:t>（1）外部样品：送入外部标本由客户（医院、卫生服务中心、体检中心等）采集，通过全封闭低温保存托运至本实验室。血液运输过程中需注意低温环境（2-10℃）的保持，采用汽车运输，标本接收箱要求有温度控制及上锁的措施，在标本运送过程中防止标本外溢、蒸发和污染，到达后送至冻库。</w:t>
            </w:r>
          </w:p>
          <w:p>
            <w:pPr>
              <w:ind w:firstLine="480"/>
            </w:pPr>
            <w:r>
              <w:rPr>
                <w:rFonts w:hint="eastAsia"/>
              </w:rPr>
              <w:t>（2）样品接收：入库标本到公司实验室后即放进标本专用冻库保存，当天完成血液样品的统计和信息登记、核对工作。将当天送达标本交接至检测负责人，并签写《标本交接表》由实验室保存。标本不可直接接触人体皮肤，取放时需戴一次性医用手套。</w:t>
            </w:r>
          </w:p>
          <w:p>
            <w:pPr>
              <w:ind w:firstLine="480"/>
            </w:pPr>
            <w:r>
              <w:rPr>
                <w:rFonts w:hint="eastAsia"/>
              </w:rPr>
              <w:t>（3）样品前处理：各标本送至项目接受区后进行登记并确定检验项目，同时将标本由转运箱中取出，并经专用通道口转移至暂存区用医用冰箱暂存待用。在检验开始前由工作人员根据检验项目在准备区备好检验所用各类试剂，采用混合、离心等操作配置溶液，操作过程利用超净工作台保证无菌环境，经专用通道口送至标本制备区待用。各实验室由专用通道口相连，以便于转移实验用品和标本。同时标本接收后暂存一般在2~4天内完成检验任务，保存温度为2~8℃，保存不超过2天（48h）。</w:t>
            </w:r>
          </w:p>
          <w:p>
            <w:pPr>
              <w:ind w:firstLine="480"/>
            </w:pPr>
            <w:r>
              <w:rPr>
                <w:rFonts w:hint="eastAsia"/>
              </w:rPr>
              <w:t>样品分配：分配样品时，使用镊子、切刀、移液管等分配。</w:t>
            </w:r>
          </w:p>
          <w:p>
            <w:pPr>
              <w:ind w:firstLine="480"/>
            </w:pPr>
            <w:r>
              <w:rPr>
                <w:rFonts w:hint="eastAsia"/>
              </w:rPr>
              <w:t>试剂及药品：检测试剂及药品均为成品，使用时添加在样品盒内，部分检测试剂及药品需使用仪器添加，会直接接触仪器，当天使用完毕后才进行清洗。辅助实验试剂的滴定管及储存瓶均为专用，不需要清洗；在配置稀盐酸时需要使用移液管及容器，配置结束后需要对移液管及容器进行清洗。临床免疫检验检测：血液样品放在样品盒内，每次检测时全自动生化仪器、荧光定量PCR仪等仪器将使用自带的高精取样管吸收5~15μL血液样品测试，每次检测完毕后仪器会自动清洗取样管，剩余样品将保留在样品盒内收集。临床微生物检测：将样品添加置于样品盒（培养皿）内培养，培养完成后使用全自动细菌鉴定仪分析，分析过程不接触仪器，废弃样品将保留在样品盒内收集。</w:t>
            </w:r>
          </w:p>
          <w:p>
            <w:pPr>
              <w:ind w:firstLine="480"/>
            </w:pPr>
            <w:r>
              <w:rPr>
                <w:rFonts w:hint="eastAsia"/>
              </w:rPr>
              <w:t>临床化学检验检测：血液样品放在样品盒内，每次检测时原子吸收光谱仪将使用自带的高精取样管吸收10μL血液样品进行火焰燃烧测定金属含量，剩余样品将置于样品盒内收集。原子吸收光谱仪不需要清洗。</w:t>
            </w:r>
          </w:p>
          <w:p>
            <w:pPr>
              <w:ind w:firstLine="480"/>
            </w:pPr>
            <w:r>
              <w:rPr>
                <w:rFonts w:hint="eastAsia"/>
              </w:rPr>
              <w:t>临床血液和体液检验检测：血液样品放在样品盒内使用显微镜观测，不接触仪器设备，废弃样品将保留在样品盒内收集。</w:t>
            </w:r>
          </w:p>
          <w:p>
            <w:pPr>
              <w:ind w:firstLine="480"/>
            </w:pPr>
            <w:r>
              <w:rPr>
                <w:rFonts w:hint="eastAsia"/>
              </w:rPr>
              <w:t>清洗方式：①临床免疫检验、临床细胞分子遗传学的检验设备自带清洗功能，设备与给水管、排水管连接，每次检测完毕，会自动进30~40μ水清洗；分配样品时使用镊子、切刀、移液管等仪器在当天使用完毕后才进行清洗。②临床微生物检测、临床血液和体液检验检测等仪器在当天使用完毕后才进行清洗。③临床化学检验的生化仪不需要清洗。标准样品使用成品，购买时已置于样品盒内，不需要分配。</w:t>
            </w:r>
          </w:p>
          <w:p>
            <w:pPr>
              <w:ind w:firstLine="480"/>
            </w:pPr>
            <w:r>
              <w:rPr>
                <w:rFonts w:hint="eastAsia"/>
              </w:rPr>
              <w:t>（4）标本检验据标本的不同检验项目，进行不同的检验试验。其中PCR室、HIV实验室、微生物实验室的操作均在生物安全柜中进行。本项目不自行配置标准样品，所采用标准样品均为采购成品。此过程产生生物废物、检验废液、仪器清洗废水、试剂废气以及病菌废气等。</w:t>
            </w:r>
          </w:p>
          <w:p>
            <w:pPr>
              <w:ind w:firstLine="480"/>
            </w:pPr>
            <w:r>
              <w:t>（5）整理实验、检验数据根据检测完成的结果整理数据并打印报告。</w:t>
            </w:r>
          </w:p>
          <w:p>
            <w:pPr>
              <w:ind w:firstLine="480"/>
            </w:pPr>
            <w:r>
              <w:t>（6）实验、检验结束</w:t>
            </w:r>
          </w:p>
          <w:p>
            <w:pPr>
              <w:ind w:firstLine="480"/>
            </w:pPr>
            <w:r>
              <w:rPr>
                <w:rFonts w:hint="eastAsia"/>
              </w:rPr>
              <w:t>针对多余新鲜样品及废弃样品，本项目采用高压蒸汽灭菌法处理，可杀灭活体细胞，灭活效果较好。已灭活的标本按照性质进行分装，暂存在医疗废物暂存间，并且各类废弃物相互之间设有格挡。依据《医疗废物管理条例》第三章第十七条规定：医疗卫生机构应当建立医疗废物的暂时贮存设施、设备，不得露天存放医疗废物；医疗废物暂时贮存的时间不得超过2天。即本项目每2日由有资质的医疗废物处理单位上门收集，并填写交接记录。</w:t>
            </w:r>
          </w:p>
          <w:p>
            <w:pPr>
              <w:pStyle w:val="5"/>
              <w:rPr>
                <w:lang w:eastAsia="zh-CN"/>
              </w:rPr>
            </w:pPr>
            <w:r>
              <w:rPr>
                <w:rFonts w:hint="eastAsia"/>
                <w:lang w:eastAsia="zh-CN"/>
              </w:rPr>
              <w:t>临床血液与体液检验</w:t>
            </w:r>
          </w:p>
          <w:p>
            <w:pPr>
              <w:ind w:firstLine="480"/>
            </w:pPr>
            <w:r>
              <w:t>临床血液和体液检验科检测样品为血液样品、体液样品。在血液样品检测前，需要进行前处理，前处理室和临床免疫检验科共用，前处理流程见</w:t>
            </w:r>
            <w:r>
              <w:rPr>
                <w:rFonts w:hint="eastAsia"/>
              </w:rPr>
              <w:t>下图</w:t>
            </w:r>
            <w:r>
              <w:t>。将前处理后的血液标本、体液标本放在显微镜下观察，待一批次标本全部检测完成后，统一打印检测报告。结束后将废样品、废</w:t>
            </w:r>
            <w:r>
              <w:rPr>
                <w:rFonts w:hint="eastAsia"/>
              </w:rPr>
              <w:t>离心</w:t>
            </w:r>
            <w:r>
              <w:t>液分类收集至专用收集桶内运至医疗废物暂存间暂存。</w:t>
            </w:r>
          </w:p>
          <w:p>
            <w:pPr>
              <w:pStyle w:val="56"/>
              <w:keepNext/>
            </w:pPr>
            <w:r>
              <w:drawing>
                <wp:inline distT="0" distB="0" distL="0" distR="0">
                  <wp:extent cx="4421505" cy="1031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email"/>
                          <a:stretch>
                            <a:fillRect/>
                          </a:stretch>
                        </pic:blipFill>
                        <pic:spPr>
                          <a:xfrm>
                            <a:off x="0" y="0"/>
                            <a:ext cx="4421505" cy="1031875"/>
                          </a:xfrm>
                          <a:prstGeom prst="rect">
                            <a:avLst/>
                          </a:prstGeom>
                        </pic:spPr>
                      </pic:pic>
                    </a:graphicData>
                  </a:graphic>
                </wp:inline>
              </w:drawing>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前处理工艺流程及产污环节</w:t>
            </w:r>
          </w:p>
          <w:p>
            <w:pPr>
              <w:ind w:firstLine="480"/>
              <w:rPr>
                <w:lang w:val="zh-CN" w:eastAsia="zh-CN"/>
              </w:rPr>
            </w:pPr>
          </w:p>
          <w:p>
            <w:pPr>
              <w:pStyle w:val="56"/>
              <w:keepNext/>
            </w:pPr>
            <w:r>
              <w:object>
                <v:shape id="_x0000_i1025" o:spt="75" type="#_x0000_t75" style="height:280.75pt;width:347.7pt;" o:ole="t" filled="f" o:preferrelative="t" stroked="f" coordsize="21600,21600">
                  <v:path/>
                  <v:fill on="f" focussize="0,0"/>
                  <v:stroke on="f" joinstyle="miter"/>
                  <v:imagedata r:id="rId23" croptop="1531f" o:title=""/>
                  <o:lock v:ext="edit" aspectratio="f"/>
                  <w10:wrap type="none"/>
                  <w10:anchorlock/>
                </v:shape>
                <o:OLEObject Type="Embed" ProgID="Visio.Drawing.15" ShapeID="_x0000_i1025" DrawAspect="Content" ObjectID="_1468075725" r:id="rId22">
                  <o:LockedField>false</o:LockedField>
                </o:OLEObject>
              </w:object>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r>
              <w:rPr>
                <w:rFonts w:hint="eastAsia"/>
              </w:rPr>
              <w:t>临床血液与体液检验流程及产污环节</w:t>
            </w:r>
          </w:p>
          <w:p>
            <w:pPr>
              <w:pStyle w:val="56"/>
            </w:pPr>
          </w:p>
          <w:p>
            <w:pPr>
              <w:pStyle w:val="5"/>
              <w:rPr>
                <w:lang w:eastAsia="zh-CN"/>
              </w:rPr>
            </w:pPr>
            <w:r>
              <w:rPr>
                <w:rFonts w:hint="eastAsia"/>
                <w:lang w:eastAsia="zh-CN"/>
              </w:rPr>
              <w:t>临床化学反应</w:t>
            </w:r>
          </w:p>
          <w:p>
            <w:pPr>
              <w:ind w:firstLine="480"/>
            </w:pPr>
            <w:r>
              <w:t>临床化学检验检测样品为血液样品。</w:t>
            </w:r>
          </w:p>
          <w:p>
            <w:pPr>
              <w:ind w:firstLine="480"/>
            </w:pPr>
            <w:r>
              <w:t>将血液样品进行离心后取血清制成待测样品，根据检测项目放入对应的生化仪、化学发光仪中检测，数据保存在电脑系统中，待一批次标本全部检测完成后，统一打印检测报告。结束后将废样品、废液分类收集至专用收集桶内运至医疗废物暂存间暂存。本项目不自行进行标样配置，所采用标本均为采购成品，使用结束将作为废样品分类收集至专用收集桶内运至医疗废物暂存间暂存。</w:t>
            </w:r>
          </w:p>
          <w:p>
            <w:pPr>
              <w:pStyle w:val="56"/>
              <w:keepNext/>
            </w:pPr>
            <w:r>
              <w:rPr>
                <w:rFonts w:hint="eastAsia"/>
              </w:rPr>
              <w:object>
                <v:shape id="_x0000_i1026" o:spt="75" type="#_x0000_t75" style="height:262.35pt;width:349.95pt;" o:ole="t" filled="f" o:preferrelative="t" stroked="f" coordsize="21600,21600">
                  <v:path/>
                  <v:fill on="f" focussize="0,0"/>
                  <v:stroke on="f" joinstyle="miter"/>
                  <v:imagedata r:id="rId25" croptop="3981f" cropbottom="2297f" o:title=""/>
                  <o:lock v:ext="edit" aspectratio="f"/>
                  <w10:wrap type="none"/>
                  <w10:anchorlock/>
                </v:shape>
                <o:OLEObject Type="Embed" ProgID="Visio.Drawing.15" ShapeID="_x0000_i1026" DrawAspect="Content" ObjectID="_1468075726" r:id="rId24">
                  <o:LockedField>false</o:LockedField>
                </o:OLEObject>
              </w:object>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4</w:t>
            </w:r>
            <w:r>
              <w:fldChar w:fldCharType="end"/>
            </w:r>
            <w:r>
              <w:rPr>
                <w:rFonts w:hint="eastAsia"/>
              </w:rPr>
              <w:t>临床化学检测流程及产污环节</w:t>
            </w:r>
          </w:p>
          <w:p>
            <w:pPr>
              <w:pStyle w:val="5"/>
              <w:rPr>
                <w:lang w:eastAsia="zh-CN"/>
              </w:rPr>
            </w:pPr>
            <w:r>
              <w:rPr>
                <w:rFonts w:hint="eastAsia"/>
                <w:lang w:eastAsia="zh-CN"/>
              </w:rPr>
              <w:t>临床免疫检测</w:t>
            </w:r>
          </w:p>
          <w:p>
            <w:pPr>
              <w:ind w:firstLine="480"/>
            </w:pPr>
            <w:r>
              <w:t>临床免疫检验科检测样品为血液样品，检测分为仪器免疫检测、生化检测和酶联自免检测。血液样品在检测前均要进行前处理</w:t>
            </w:r>
            <w:r>
              <w:rPr>
                <w:rFonts w:hint="eastAsia"/>
              </w:rPr>
              <w:t>，</w:t>
            </w:r>
            <w:r>
              <w:t>结束后将废样品、废</w:t>
            </w:r>
            <w:r>
              <w:rPr>
                <w:rFonts w:hint="eastAsia"/>
              </w:rPr>
              <w:t>离心</w:t>
            </w:r>
            <w:r>
              <w:t>液分类收集至专用收集桶内运至医疗废物暂存间暂存。</w:t>
            </w:r>
            <w:r>
              <w:rPr>
                <w:rFonts w:hint="eastAsia"/>
              </w:rPr>
              <w:t>前处理工艺见下图。</w:t>
            </w:r>
          </w:p>
          <w:p>
            <w:pPr>
              <w:pStyle w:val="56"/>
              <w:keepNext/>
            </w:pPr>
            <w:r>
              <w:drawing>
                <wp:inline distT="0" distB="0" distL="0" distR="0">
                  <wp:extent cx="4421505" cy="1031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cstate="email"/>
                          <a:stretch>
                            <a:fillRect/>
                          </a:stretch>
                        </pic:blipFill>
                        <pic:spPr>
                          <a:xfrm>
                            <a:off x="0" y="0"/>
                            <a:ext cx="4421505" cy="1031875"/>
                          </a:xfrm>
                          <a:prstGeom prst="rect">
                            <a:avLst/>
                          </a:prstGeom>
                        </pic:spPr>
                      </pic:pic>
                    </a:graphicData>
                  </a:graphic>
                </wp:inline>
              </w:drawing>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5</w:t>
            </w:r>
            <w:r>
              <w:fldChar w:fldCharType="end"/>
            </w:r>
            <w:r>
              <w:rPr>
                <w:rFonts w:hint="eastAsia"/>
              </w:rPr>
              <w:t>临床免疫检验前处理工艺流程及产污环节</w:t>
            </w:r>
          </w:p>
          <w:p>
            <w:pPr>
              <w:ind w:firstLine="480"/>
            </w:pPr>
            <w:r>
              <w:t>工艺流程简述：</w:t>
            </w:r>
          </w:p>
          <w:p>
            <w:pPr>
              <w:ind w:firstLine="480"/>
            </w:pPr>
            <w:r>
              <w:t>（1）前处理：将血液样品进行离心后取血清制成待测样品。</w:t>
            </w:r>
          </w:p>
          <w:p>
            <w:pPr>
              <w:ind w:firstLine="480"/>
            </w:pPr>
            <w:r>
              <w:t>（2）仪器免疫检测：待测样品经全自动免疫分析仪上机检测，检测数据出来后，结果自动传输到LIS电脑系统，数据审核后保存。待一批次样品全部检测完成后，统一打印检测报告。</w:t>
            </w:r>
          </w:p>
          <w:p>
            <w:pPr>
              <w:ind w:firstLine="480"/>
            </w:pPr>
            <w:r>
              <w:t>（3）生化免疫检测：待测样品经全自动生化分析仪上机检测，检测数据出来后，结果自动传输到LIS电脑系统，数据审核后保存。待一批次样品全部检测完成后，统一打印检测报告。</w:t>
            </w:r>
          </w:p>
          <w:p>
            <w:pPr>
              <w:ind w:firstLine="480"/>
            </w:pPr>
            <w:r>
              <w:t>（4）酶联自免检测：待测样品经添加到对应的酶标板中，加入相应试剂后进行脱色、读板，检测数据出来后，结果自动传输到LIS电脑系统，数据审核后保存。待一批次样品全部检测完成后，统一打印检测报告。</w:t>
            </w:r>
          </w:p>
          <w:p>
            <w:pPr>
              <w:ind w:firstLine="480"/>
            </w:pPr>
            <w:r>
              <w:t>（5）HIV检测：待测样品经添加到对应的酶标板中，加入相应试剂后进行脱色、读板，检测数据出来后，结果自动传输到LIS电脑系统，数据审核后保存。待一批次样品全部检测完成后，统一打印检测报告。</w:t>
            </w:r>
          </w:p>
          <w:p>
            <w:pPr>
              <w:ind w:firstLine="480"/>
            </w:pPr>
            <w:r>
              <w:t>（6）PCR检测：待测样品经加入相应试剂后，经荧光定量PCR仪上机检测，检测数据出来后，结果自动传输到LIS电脑系统，数据审核后保存。待一批次样品全部检测完成后，统一打印检测报告。</w:t>
            </w:r>
          </w:p>
          <w:p>
            <w:pPr>
              <w:ind w:firstLine="480"/>
              <w:rPr>
                <w:lang w:val="zh-CN" w:eastAsia="zh-CN"/>
              </w:rPr>
            </w:pPr>
            <w:r>
              <w:t>（7）结束：检测结束后将废标本分类收集至专用收集桶内运至医疗废物暂存间暂存。</w:t>
            </w:r>
          </w:p>
          <w:p>
            <w:pPr>
              <w:pStyle w:val="56"/>
              <w:keepNext/>
            </w:pPr>
            <w:r>
              <w:rPr>
                <w:rFonts w:hint="eastAsia"/>
              </w:rPr>
              <w:object>
                <v:shape id="_x0000_i1027" o:spt="75" type="#_x0000_t75" style="height:260.65pt;width:347.7pt;" o:ole="t" filled="f" o:preferrelative="t" stroked="f" coordsize="21600,21600">
                  <v:path/>
                  <v:fill on="f" focussize="0,0"/>
                  <v:stroke on="f" joinstyle="miter"/>
                  <v:imagedata r:id="rId27" croptop="4900f" cropbottom="766f" o:title=""/>
                  <o:lock v:ext="edit" aspectratio="f"/>
                  <w10:wrap type="none"/>
                  <w10:anchorlock/>
                </v:shape>
                <o:OLEObject Type="Embed" ProgID="Visio.Drawing.15" ShapeID="_x0000_i1027" DrawAspect="Content" ObjectID="_1468075727" r:id="rId26">
                  <o:LockedField>false</o:LockedField>
                </o:OLEObject>
              </w:object>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6</w:t>
            </w:r>
            <w:r>
              <w:fldChar w:fldCharType="end"/>
            </w:r>
            <w:r>
              <w:rPr>
                <w:rFonts w:hint="eastAsia"/>
              </w:rPr>
              <w:t>临床免疫检测流程及产污环节</w:t>
            </w:r>
          </w:p>
          <w:p>
            <w:pPr>
              <w:pStyle w:val="5"/>
            </w:pPr>
            <w:r>
              <w:rPr>
                <w:rFonts w:hint="eastAsia"/>
                <w:lang w:eastAsia="zh-CN"/>
              </w:rPr>
              <w:t>临床微生物检测</w:t>
            </w:r>
          </w:p>
          <w:p>
            <w:pPr>
              <w:ind w:firstLine="480"/>
            </w:pPr>
            <w:r>
              <w:t>临床微生物检验科测试样品为细胞标本。</w:t>
            </w:r>
          </w:p>
          <w:p>
            <w:pPr>
              <w:ind w:firstLine="480"/>
              <w:rPr>
                <w:lang w:val="zh-CN"/>
              </w:rPr>
            </w:pPr>
            <w:r>
              <w:t>工艺流程简述：将细胞标本添加至培养基（琼脂）后，放入培养箱进行培养，待细胞培养繁殖到所需程度后，将培养基放入相应分析仪器内分析，结果自动传输到LIS电脑系统，数据审核后保存。待一批次标本全部检测完成后，统一打印检测报告，并将废样品、废液分类收集至专用收集桶内运至医疗废物暂存间暂存。</w:t>
            </w:r>
          </w:p>
          <w:p>
            <w:pPr>
              <w:pStyle w:val="56"/>
              <w:keepNext/>
            </w:pPr>
            <w:r>
              <w:drawing>
                <wp:inline distT="0" distB="0" distL="0" distR="0">
                  <wp:extent cx="4421505" cy="11118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cstate="email"/>
                          <a:stretch>
                            <a:fillRect/>
                          </a:stretch>
                        </pic:blipFill>
                        <pic:spPr>
                          <a:xfrm>
                            <a:off x="0" y="0"/>
                            <a:ext cx="4421505" cy="1111885"/>
                          </a:xfrm>
                          <a:prstGeom prst="rect">
                            <a:avLst/>
                          </a:prstGeom>
                        </pic:spPr>
                      </pic:pic>
                    </a:graphicData>
                  </a:graphic>
                </wp:inline>
              </w:drawing>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7</w:t>
            </w:r>
            <w:r>
              <w:fldChar w:fldCharType="end"/>
            </w:r>
            <w:r>
              <w:rPr>
                <w:rFonts w:hint="eastAsia"/>
              </w:rPr>
              <w:t>临床微生物检验检测工艺流程及产污环节</w:t>
            </w:r>
          </w:p>
          <w:p>
            <w:pPr>
              <w:pStyle w:val="5"/>
              <w:rPr>
                <w:lang w:eastAsia="zh-CN"/>
              </w:rPr>
            </w:pPr>
            <w:r>
              <w:rPr>
                <w:rFonts w:hint="eastAsia"/>
                <w:lang w:eastAsia="zh-CN"/>
              </w:rPr>
              <w:t>分子及细胞遗传检测</w:t>
            </w:r>
          </w:p>
          <w:p>
            <w:pPr>
              <w:ind w:firstLine="482"/>
              <w:rPr>
                <w:b/>
                <w:bCs/>
              </w:rPr>
            </w:pPr>
            <w:r>
              <w:rPr>
                <w:rFonts w:hint="eastAsia"/>
                <w:b/>
                <w:bCs/>
              </w:rPr>
              <w:t>（1）新冠核酸检测、HPV核酸检测、地贫基因检测、肿瘤基因变异检测</w:t>
            </w:r>
          </w:p>
          <w:p>
            <w:pPr>
              <w:ind w:firstLine="480"/>
            </w:pPr>
            <w:r>
              <w:rPr>
                <w:rFonts w:hint="eastAsia"/>
              </w:rPr>
              <w:t>本项目PCR实验室实验流程简介：</w:t>
            </w:r>
          </w:p>
          <w:p>
            <w:pPr>
              <w:ind w:firstLine="480"/>
            </w:pPr>
            <w:r>
              <w:rPr>
                <w:rFonts w:hint="eastAsia"/>
              </w:rPr>
              <w:t>1、样本接收：本项目检测的样本均为客户医院提供的成品样本，本项目不从事标本采集。样本从标本入口接收，进入实验室。</w:t>
            </w:r>
          </w:p>
          <w:p>
            <w:pPr>
              <w:ind w:firstLine="480"/>
            </w:pPr>
            <w:r>
              <w:rPr>
                <w:rFonts w:hint="eastAsia"/>
              </w:rPr>
              <w:t>2、DNA提取：检测样本通过离心、去上清、裂解、离心等处理得到样本DNA。</w:t>
            </w:r>
          </w:p>
          <w:p>
            <w:pPr>
              <w:ind w:firstLine="480"/>
            </w:pPr>
            <w:r>
              <w:rPr>
                <w:rFonts w:hint="eastAsia"/>
              </w:rPr>
              <w:t>3、PCR扩增：将样本DNA、试剂加入PCR管内，按照程序进行扩增。</w:t>
            </w:r>
          </w:p>
          <w:p>
            <w:pPr>
              <w:ind w:firstLine="480"/>
            </w:pPr>
            <w:r>
              <w:rPr>
                <w:rFonts w:hint="eastAsia"/>
              </w:rPr>
              <w:t>4、杂交：将扩增后的检测样本放入全自动核酸分子杂交仪进行杂交检测。</w:t>
            </w:r>
          </w:p>
          <w:p>
            <w:pPr>
              <w:ind w:firstLine="480"/>
            </w:pPr>
            <w:r>
              <w:rPr>
                <w:rFonts w:hint="eastAsia"/>
              </w:rPr>
              <w:t>5、结果判断：将杂交后的膜条通过清洗、孵育、摇洗、显色操作后，判读结果。</w:t>
            </w:r>
          </w:p>
          <w:p>
            <w:pPr>
              <w:ind w:firstLine="480"/>
            </w:pPr>
            <w:r>
              <w:rPr>
                <w:rFonts w:hint="eastAsia"/>
              </w:rPr>
              <w:t>6、出具报告：按照检测结果出具检测报告，经审核后，形成书面或电子报告后送交委托检测单位</w:t>
            </w:r>
          </w:p>
          <w:p>
            <w:pPr>
              <w:pStyle w:val="56"/>
              <w:keepNext/>
            </w:pPr>
            <w:r>
              <w:object>
                <v:shape id="_x0000_i1028" o:spt="75" type="#_x0000_t75" style="height:237.75pt;width:346.6pt;" o:ole="t" filled="f" o:preferrelative="t" stroked="f" coordsize="21600,21600">
                  <v:path/>
                  <v:fill on="f" focussize="0,0"/>
                  <v:stroke on="f" joinstyle="miter"/>
                  <v:imagedata r:id="rId30" croptop="5398f" cropbottom="3642f" o:title=""/>
                  <o:lock v:ext="edit" aspectratio="f"/>
                  <w10:wrap type="none"/>
                  <w10:anchorlock/>
                </v:shape>
                <o:OLEObject Type="Embed" ProgID="Visio.Drawing.15" ShapeID="_x0000_i1028" DrawAspect="Content" ObjectID="_1468075728" r:id="rId29">
                  <o:LockedField>false</o:LockedField>
                </o:OLEObject>
              </w:object>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8</w:t>
            </w:r>
            <w:r>
              <w:fldChar w:fldCharType="end"/>
            </w:r>
            <w:r>
              <w:rPr>
                <w:rFonts w:hint="eastAsia"/>
              </w:rPr>
              <w:t>分子及细胞遗传检测流程及产污环节</w:t>
            </w:r>
          </w:p>
          <w:p>
            <w:pPr>
              <w:ind w:firstLine="482"/>
              <w:rPr>
                <w:b/>
              </w:rPr>
            </w:pPr>
            <w:r>
              <w:rPr>
                <w:rFonts w:hint="eastAsia"/>
                <w:b/>
              </w:rPr>
              <w:t>（2）染色体核型分析</w:t>
            </w:r>
          </w:p>
          <w:p>
            <w:pPr>
              <w:ind w:firstLine="480"/>
            </w:pPr>
            <w:r>
              <w:rPr>
                <w:rFonts w:hint="eastAsia"/>
              </w:rPr>
              <w:t>本项目染色体核型分析实验实验流程简介：</w:t>
            </w:r>
          </w:p>
          <w:p>
            <w:pPr>
              <w:ind w:firstLine="480"/>
            </w:pPr>
            <w:r>
              <w:rPr>
                <w:rFonts w:hint="eastAsia"/>
              </w:rPr>
              <w:t>1、样本接收：本项目检测的样本均为客户医院提供的成品样本，本项目不从事标本采集。样本从标本入口接收，进入实验室。</w:t>
            </w:r>
          </w:p>
          <w:p>
            <w:pPr>
              <w:ind w:firstLine="480"/>
            </w:pPr>
            <w:r>
              <w:rPr>
                <w:rFonts w:hint="eastAsia"/>
              </w:rPr>
              <w:t>2、DNA提取：检测样本通过离心、去上清、裂解、离心等处理得到样本DNA。</w:t>
            </w:r>
          </w:p>
          <w:p>
            <w:pPr>
              <w:ind w:firstLine="480"/>
            </w:pPr>
            <w:r>
              <w:rPr>
                <w:rFonts w:hint="eastAsia"/>
              </w:rPr>
              <w:t>3、染色体制片、染色：将样本按照程序进行制片、染色。</w:t>
            </w:r>
          </w:p>
          <w:p>
            <w:pPr>
              <w:ind w:firstLine="480"/>
            </w:pPr>
            <w:r>
              <w:rPr>
                <w:rFonts w:hint="eastAsia"/>
              </w:rPr>
              <w:t>4、显微镜检测：将制作好的样品利用显微镜进行观察检测。</w:t>
            </w:r>
          </w:p>
          <w:p>
            <w:pPr>
              <w:ind w:firstLine="480"/>
            </w:pPr>
            <w:r>
              <w:rPr>
                <w:rFonts w:hint="eastAsia"/>
              </w:rPr>
              <w:t>5、结果判断：对样品进行检测后，判读结果。</w:t>
            </w:r>
          </w:p>
          <w:p>
            <w:pPr>
              <w:ind w:firstLine="480"/>
            </w:pPr>
            <w:r>
              <w:rPr>
                <w:rFonts w:hint="eastAsia"/>
              </w:rPr>
              <w:t>6、出具报告：按照检测结果出具检测报告，经审核后，形成书面或电子报告后送交委托检测单位</w:t>
            </w:r>
          </w:p>
          <w:p>
            <w:pPr>
              <w:ind w:firstLine="482"/>
              <w:rPr>
                <w:b/>
              </w:rPr>
            </w:pPr>
          </w:p>
          <w:p>
            <w:pPr>
              <w:pStyle w:val="56"/>
              <w:keepNext/>
            </w:pPr>
            <w:r>
              <w:rPr>
                <w:rStyle w:val="301"/>
                <w:rFonts w:hint="eastAsia"/>
              </w:rPr>
              <w:object>
                <v:shape id="_x0000_i1029" o:spt="75" type="#_x0000_t75" style="height:293.6pt;width:344.95pt;" o:ole="t" filled="f" o:preferrelative="t" stroked="f" coordsize="21600,21600">
                  <v:path/>
                  <v:fill on="f" focussize="0,0"/>
                  <v:stroke on="f" joinstyle="miter"/>
                  <v:imagedata r:id="rId32" croptop="3499f" cropbottom="2691f" o:title=""/>
                  <o:lock v:ext="edit" aspectratio="f"/>
                  <w10:wrap type="none"/>
                  <w10:anchorlock/>
                </v:shape>
                <o:OLEObject Type="Embed" ProgID="Visio.Drawing.15" ShapeID="_x0000_i1029" DrawAspect="Content" ObjectID="_1468075729" r:id="rId31">
                  <o:LockedField>false</o:LockedField>
                </o:OLEObject>
              </w:object>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9</w:t>
            </w:r>
            <w:r>
              <w:fldChar w:fldCharType="end"/>
            </w:r>
            <w:r>
              <w:rPr>
                <w:rFonts w:hint="eastAsia"/>
              </w:rPr>
              <w:t>染色体核型分析流程及产污环节</w:t>
            </w:r>
          </w:p>
          <w:p>
            <w:pPr>
              <w:pStyle w:val="5"/>
              <w:rPr>
                <w:lang w:eastAsia="zh-CN"/>
              </w:rPr>
            </w:pPr>
            <w:r>
              <w:rPr>
                <w:rFonts w:hint="eastAsia"/>
                <w:lang w:eastAsia="zh-CN"/>
              </w:rPr>
              <w:t>纯水制备工艺</w:t>
            </w:r>
          </w:p>
          <w:p>
            <w:pPr>
              <w:pStyle w:val="56"/>
              <w:keepNext/>
            </w:pPr>
            <w:r>
              <w:object>
                <v:shape id="_x0000_i1030" o:spt="75" type="#_x0000_t75" style="height:90.4pt;width:348.85pt;" o:ole="t" filled="f" o:preferrelative="t" stroked="f" coordsize="21600,21600">
                  <v:path/>
                  <v:fill on="f" focussize="0,0"/>
                  <v:stroke on="f" joinstyle="miter"/>
                  <v:imagedata r:id="rId34" croptop="6501f" cropbottom="8454f" o:title=""/>
                  <o:lock v:ext="edit" aspectratio="f"/>
                  <w10:wrap type="none"/>
                  <w10:anchorlock/>
                </v:shape>
                <o:OLEObject Type="Embed" ProgID="Visio.Drawing.15" ShapeID="_x0000_i1030" DrawAspect="Content" ObjectID="_1468075730" r:id="rId33">
                  <o:LockedField>false</o:LockedField>
                </o:OLEObject>
              </w:object>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10</w:t>
            </w:r>
            <w:r>
              <w:fldChar w:fldCharType="end"/>
            </w:r>
            <w:r>
              <w:rPr>
                <w:rFonts w:hint="eastAsia"/>
              </w:rPr>
              <w:t>纯水制备工艺流程及产污环节</w:t>
            </w:r>
          </w:p>
          <w:p>
            <w:pPr>
              <w:ind w:firstLine="480"/>
            </w:pPr>
            <w:r>
              <w:rPr>
                <w:rFonts w:hint="eastAsia"/>
              </w:rPr>
              <w:t>本项目纯水制备采用RO反渗透工艺。</w:t>
            </w:r>
          </w:p>
          <w:p>
            <w:pPr>
              <w:ind w:firstLine="480"/>
            </w:pPr>
            <w:r>
              <w:rPr>
                <w:rFonts w:hint="eastAsia"/>
              </w:rPr>
              <w:t>RO是以压力为推动力的膜分离技术之一。以大分子与小分子分离为目的，膜孔径在1000A°之下。本项目采用4支并联中空纤维超滤器（膜）。在反渗透过程中，水溶液在压力推动下，流经膜表面，小于膜孔的溶剂（水）及小分子溶质透水膜，成为净化液（滤清液），比膜孔大的溶质及溶质集团被截留，随水流排出成为浓水。反渗透过程为动态过滤，分离是在流动状态下完成的。溶质仅在膜表面有限沉积，超滤速率衰减到一定程度而趋于平衡。纯水制备过程中会产生浓水（膜上含盐废水）。</w:t>
            </w:r>
          </w:p>
          <w:p>
            <w:pPr>
              <w:pStyle w:val="5"/>
              <w:rPr>
                <w:lang w:eastAsia="zh-CN"/>
              </w:rPr>
            </w:pPr>
            <w:r>
              <w:rPr>
                <w:rFonts w:hint="eastAsia"/>
                <w:lang w:eastAsia="zh-CN"/>
              </w:rPr>
              <w:t>产污环节</w:t>
            </w:r>
          </w:p>
          <w:p>
            <w:pPr>
              <w:ind w:firstLine="480"/>
              <w:rPr>
                <w:lang w:val="zh-CN"/>
              </w:rPr>
            </w:pPr>
            <w:r>
              <w:rPr>
                <w:rFonts w:hint="eastAsia"/>
                <w:lang w:val="zh-CN"/>
              </w:rPr>
              <w:t>本项目主要的产污环节及污染物见下表。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项目产污环节</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52"/>
              <w:gridCol w:w="1455"/>
              <w:gridCol w:w="779"/>
              <w:gridCol w:w="1897"/>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6" w:type="pct"/>
                  <w:gridSpan w:val="2"/>
                  <w:vAlign w:val="center"/>
                </w:tcPr>
                <w:p>
                  <w:pPr>
                    <w:pStyle w:val="56"/>
                  </w:pPr>
                  <w:r>
                    <w:rPr>
                      <w:rFonts w:hint="eastAsia"/>
                    </w:rPr>
                    <w:t>类别</w:t>
                  </w:r>
                </w:p>
              </w:tc>
              <w:tc>
                <w:tcPr>
                  <w:tcW w:w="1046" w:type="pct"/>
                  <w:vAlign w:val="center"/>
                </w:tcPr>
                <w:p>
                  <w:pPr>
                    <w:pStyle w:val="56"/>
                  </w:pPr>
                  <w:r>
                    <w:rPr>
                      <w:rFonts w:hint="eastAsia"/>
                    </w:rPr>
                    <w:t>产污工序</w:t>
                  </w:r>
                </w:p>
              </w:tc>
              <w:tc>
                <w:tcPr>
                  <w:tcW w:w="560" w:type="pct"/>
                  <w:vAlign w:val="center"/>
                </w:tcPr>
                <w:p>
                  <w:pPr>
                    <w:pStyle w:val="56"/>
                  </w:pPr>
                  <w:r>
                    <w:rPr>
                      <w:rFonts w:hint="eastAsia"/>
                    </w:rPr>
                    <w:t>污染编号</w:t>
                  </w:r>
                </w:p>
              </w:tc>
              <w:tc>
                <w:tcPr>
                  <w:tcW w:w="2358" w:type="pct"/>
                  <w:gridSpan w:val="2"/>
                  <w:vAlign w:val="center"/>
                </w:tcPr>
                <w:p>
                  <w:pPr>
                    <w:pStyle w:val="56"/>
                  </w:pPr>
                  <w:r>
                    <w:rPr>
                      <w:rFonts w:hint="eastAsia"/>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36" w:type="pct"/>
                  <w:gridSpan w:val="2"/>
                  <w:vAlign w:val="center"/>
                </w:tcPr>
                <w:p>
                  <w:pPr>
                    <w:pStyle w:val="56"/>
                  </w:pPr>
                  <w:r>
                    <w:rPr>
                      <w:rFonts w:hint="eastAsia"/>
                    </w:rPr>
                    <w:t>废气</w:t>
                  </w:r>
                </w:p>
              </w:tc>
              <w:tc>
                <w:tcPr>
                  <w:tcW w:w="1046" w:type="pct"/>
                  <w:vAlign w:val="center"/>
                </w:tcPr>
                <w:p>
                  <w:pPr>
                    <w:pStyle w:val="56"/>
                  </w:pPr>
                  <w:r>
                    <w:rPr>
                      <w:rFonts w:hint="eastAsia"/>
                    </w:rPr>
                    <w:t>仪器擦拭消毒</w:t>
                  </w:r>
                  <w:r>
                    <w:rPr>
                      <w:rFonts w:hint="eastAsia"/>
                      <w:lang w:eastAsia="zh-CN"/>
                    </w:rPr>
                    <w:t>、样品检测</w:t>
                  </w:r>
                </w:p>
              </w:tc>
              <w:tc>
                <w:tcPr>
                  <w:tcW w:w="560" w:type="pct"/>
                  <w:vAlign w:val="center"/>
                </w:tcPr>
                <w:p>
                  <w:pPr>
                    <w:pStyle w:val="56"/>
                  </w:pPr>
                  <w:r>
                    <w:rPr>
                      <w:rFonts w:hint="eastAsia"/>
                    </w:rPr>
                    <w:t>G1</w:t>
                  </w:r>
                </w:p>
              </w:tc>
              <w:tc>
                <w:tcPr>
                  <w:tcW w:w="2358" w:type="pct"/>
                  <w:gridSpan w:val="2"/>
                  <w:vAlign w:val="center"/>
                </w:tcPr>
                <w:p>
                  <w:pPr>
                    <w:pStyle w:val="56"/>
                  </w:pPr>
                  <w:r>
                    <w:rPr>
                      <w:rFonts w:hint="eastAsia"/>
                      <w:lang w:eastAsia="zh-CN"/>
                    </w:rPr>
                    <w:t>试剂废气（</w:t>
                  </w:r>
                  <w:r>
                    <w:rPr>
                      <w:rFonts w:hint="eastAsia"/>
                    </w:rPr>
                    <w:t>VOCs（乙醇）</w:t>
                  </w:r>
                  <w:r>
                    <w:rPr>
                      <w:rFonts w:hint="eastAsia"/>
                      <w:lang w:eastAsia="zh-CN"/>
                    </w:rPr>
                    <w:t>）、病原微生物气体溶胶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36" w:type="pct"/>
                  <w:gridSpan w:val="2"/>
                  <w:vMerge w:val="restart"/>
                  <w:vAlign w:val="center"/>
                </w:tcPr>
                <w:p>
                  <w:pPr>
                    <w:pStyle w:val="56"/>
                  </w:pPr>
                  <w:r>
                    <w:rPr>
                      <w:rFonts w:hint="eastAsia"/>
                    </w:rPr>
                    <w:t>废水</w:t>
                  </w:r>
                </w:p>
              </w:tc>
              <w:tc>
                <w:tcPr>
                  <w:tcW w:w="1046" w:type="pct"/>
                  <w:vAlign w:val="center"/>
                </w:tcPr>
                <w:p>
                  <w:pPr>
                    <w:pStyle w:val="56"/>
                    <w:rPr>
                      <w:lang w:val="en-US"/>
                    </w:rPr>
                  </w:pPr>
                  <w:r>
                    <w:rPr>
                      <w:rFonts w:hint="eastAsia"/>
                    </w:rPr>
                    <w:t>高压灭菌锅更换、纯水</w:t>
                  </w:r>
                  <w:r>
                    <w:rPr>
                      <w:rFonts w:hint="eastAsia"/>
                      <w:lang w:val="en-US" w:eastAsia="zh-CN"/>
                    </w:rPr>
                    <w:t>制备</w:t>
                  </w:r>
                  <w:r>
                    <w:rPr>
                      <w:rFonts w:hint="eastAsia"/>
                      <w:lang w:eastAsia="zh-CN"/>
                    </w:rPr>
                    <w:t>、</w:t>
                  </w:r>
                  <w:r>
                    <w:rPr>
                      <w:rFonts w:hint="eastAsia"/>
                      <w:lang w:val="en-US" w:eastAsia="zh-CN"/>
                    </w:rPr>
                    <w:t>地面清洁、仪器清洗</w:t>
                  </w:r>
                </w:p>
              </w:tc>
              <w:tc>
                <w:tcPr>
                  <w:tcW w:w="560" w:type="pct"/>
                  <w:vAlign w:val="center"/>
                </w:tcPr>
                <w:p>
                  <w:pPr>
                    <w:pStyle w:val="56"/>
                    <w:rPr>
                      <w:lang w:eastAsia="zh-CN"/>
                    </w:rPr>
                  </w:pPr>
                  <w:r>
                    <w:rPr>
                      <w:rFonts w:hint="eastAsia"/>
                      <w:lang w:val="en-US" w:eastAsia="zh-CN"/>
                    </w:rPr>
                    <w:t>/</w:t>
                  </w:r>
                </w:p>
              </w:tc>
              <w:tc>
                <w:tcPr>
                  <w:tcW w:w="1364" w:type="pct"/>
                  <w:vAlign w:val="center"/>
                </w:tcPr>
                <w:p>
                  <w:pPr>
                    <w:pStyle w:val="56"/>
                    <w:rPr>
                      <w:lang w:val="en-US"/>
                    </w:rPr>
                  </w:pPr>
                  <w:r>
                    <w:rPr>
                      <w:rFonts w:hint="eastAsia"/>
                    </w:rPr>
                    <w:t>高压灭菌锅更换废水、纯水</w:t>
                  </w:r>
                  <w:r>
                    <w:rPr>
                      <w:rFonts w:hint="eastAsia"/>
                      <w:lang w:val="en-US" w:eastAsia="zh-CN"/>
                    </w:rPr>
                    <w:t>制备</w:t>
                  </w:r>
                  <w:r>
                    <w:rPr>
                      <w:rFonts w:hint="eastAsia"/>
                    </w:rPr>
                    <w:t>浓水</w:t>
                  </w:r>
                  <w:r>
                    <w:rPr>
                      <w:rFonts w:hint="eastAsia"/>
                      <w:lang w:eastAsia="zh-CN"/>
                    </w:rPr>
                    <w:t>、</w:t>
                  </w:r>
                  <w:r>
                    <w:rPr>
                      <w:rFonts w:hint="eastAsia"/>
                      <w:lang w:val="en-US" w:eastAsia="zh-CN"/>
                    </w:rPr>
                    <w:t>地面清洁废水、仪器清洗废水</w:t>
                  </w:r>
                </w:p>
              </w:tc>
              <w:tc>
                <w:tcPr>
                  <w:tcW w:w="994" w:type="pct"/>
                  <w:vAlign w:val="center"/>
                </w:tcPr>
                <w:p>
                  <w:pPr>
                    <w:pStyle w:val="56"/>
                  </w:pPr>
                  <w:r>
                    <w:rPr>
                      <w:rFonts w:hint="eastAsia"/>
                    </w:rPr>
                    <w:t>实验室废水（</w:t>
                  </w:r>
                  <w:r>
                    <w:rPr>
                      <w:rFonts w:hint="eastAsia"/>
                      <w:lang w:val="en-US" w:eastAsia="zh-CN"/>
                    </w:rPr>
                    <w:t>pH、</w:t>
                  </w:r>
                  <w:r>
                    <w:rPr>
                      <w:rFonts w:hint="eastAsia"/>
                    </w:rPr>
                    <w:t>COD</w:t>
                  </w:r>
                  <w:r>
                    <w:rPr>
                      <w:rFonts w:hint="eastAsia"/>
                      <w:vertAlign w:val="subscript"/>
                    </w:rPr>
                    <w:t>Cr</w:t>
                  </w:r>
                  <w:r>
                    <w:rPr>
                      <w:rFonts w:hint="eastAsia"/>
                    </w:rPr>
                    <w:t>、BOD</w:t>
                  </w:r>
                  <w:r>
                    <w:rPr>
                      <w:rFonts w:hint="eastAsia"/>
                      <w:vertAlign w:val="subscript"/>
                    </w:rPr>
                    <w:t>5</w:t>
                  </w:r>
                  <w:r>
                    <w:rPr>
                      <w:rFonts w:hint="eastAsia"/>
                    </w:rPr>
                    <w:t>、SS、NH</w:t>
                  </w:r>
                  <w:r>
                    <w:rPr>
                      <w:rFonts w:hint="eastAsia"/>
                      <w:vertAlign w:val="subscript"/>
                    </w:rPr>
                    <w:t>3</w:t>
                  </w:r>
                  <w:r>
                    <w:rPr>
                      <w:rFonts w:hint="eastAsia"/>
                    </w:rPr>
                    <w:t>-N</w:t>
                  </w:r>
                  <w:r>
                    <w:rPr>
                      <w:rFonts w:hint="eastAsia"/>
                      <w:lang w:eastAsia="zh-CN"/>
                    </w:rPr>
                    <w:t>、</w:t>
                  </w:r>
                  <w:r>
                    <w:rPr>
                      <w:rFonts w:hint="eastAsia"/>
                      <w:lang w:val="en-US" w:eastAsia="zh-CN"/>
                    </w:rPr>
                    <w:t>粪大肠杆菌</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036" w:type="pct"/>
                  <w:gridSpan w:val="2"/>
                  <w:vMerge w:val="continue"/>
                  <w:vAlign w:val="center"/>
                </w:tcPr>
                <w:p>
                  <w:pPr>
                    <w:pStyle w:val="56"/>
                  </w:pPr>
                </w:p>
              </w:tc>
              <w:tc>
                <w:tcPr>
                  <w:tcW w:w="1046" w:type="pct"/>
                  <w:vAlign w:val="center"/>
                </w:tcPr>
                <w:p>
                  <w:pPr>
                    <w:pStyle w:val="56"/>
                  </w:pPr>
                  <w:r>
                    <w:rPr>
                      <w:rFonts w:hint="eastAsia"/>
                    </w:rPr>
                    <w:t>员工生活</w:t>
                  </w:r>
                </w:p>
              </w:tc>
              <w:tc>
                <w:tcPr>
                  <w:tcW w:w="560" w:type="pct"/>
                  <w:vAlign w:val="center"/>
                </w:tcPr>
                <w:p>
                  <w:pPr>
                    <w:pStyle w:val="56"/>
                  </w:pPr>
                  <w:r>
                    <w:rPr>
                      <w:rFonts w:hint="eastAsia"/>
                    </w:rPr>
                    <w:t>/</w:t>
                  </w:r>
                </w:p>
              </w:tc>
              <w:tc>
                <w:tcPr>
                  <w:tcW w:w="2358" w:type="pct"/>
                  <w:gridSpan w:val="2"/>
                  <w:vAlign w:val="center"/>
                </w:tcPr>
                <w:p>
                  <w:pPr>
                    <w:pStyle w:val="56"/>
                  </w:pPr>
                  <w:r>
                    <w:rPr>
                      <w:rFonts w:hint="eastAsia"/>
                    </w:rPr>
                    <w:t>生活污水（</w:t>
                  </w:r>
                  <w:r>
                    <w:rPr>
                      <w:rFonts w:hint="eastAsia"/>
                      <w:lang w:eastAsia="zh-CN"/>
                    </w:rPr>
                    <w:t>pH、</w:t>
                  </w:r>
                  <w:r>
                    <w:rPr>
                      <w:rFonts w:hint="eastAsia"/>
                    </w:rPr>
                    <w:t>COD</w:t>
                  </w:r>
                  <w:r>
                    <w:rPr>
                      <w:rFonts w:hint="eastAsia"/>
                      <w:vertAlign w:val="subscript"/>
                    </w:rPr>
                    <w:t>Cr</w:t>
                  </w:r>
                  <w:r>
                    <w:rPr>
                      <w:rFonts w:hint="eastAsia"/>
                    </w:rPr>
                    <w:t>、BOD</w:t>
                  </w:r>
                  <w:r>
                    <w:rPr>
                      <w:rFonts w:hint="eastAsia"/>
                      <w:vertAlign w:val="subscript"/>
                    </w:rPr>
                    <w:t>5</w:t>
                  </w:r>
                  <w:r>
                    <w:rPr>
                      <w:rFonts w:hint="eastAsia"/>
                    </w:rPr>
                    <w:t>、SS、NH</w:t>
                  </w:r>
                  <w:r>
                    <w:rPr>
                      <w:rFonts w:hint="eastAsia"/>
                      <w:vertAlign w:val="subscript"/>
                    </w:rPr>
                    <w:t>3</w:t>
                  </w:r>
                  <w:r>
                    <w:rPr>
                      <w:rFonts w:hint="eastAsia"/>
                    </w:rPr>
                    <w:t>-N</w:t>
                  </w:r>
                  <w:r>
                    <w:rPr>
                      <w:rFonts w:hint="eastAsia"/>
                      <w:lang w:eastAsia="zh-CN"/>
                    </w:rPr>
                    <w:t>总氮、总磷</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95" w:type="pct"/>
                  <w:vMerge w:val="restart"/>
                  <w:vAlign w:val="center"/>
                </w:tcPr>
                <w:p>
                  <w:pPr>
                    <w:pStyle w:val="56"/>
                  </w:pPr>
                  <w:r>
                    <w:rPr>
                      <w:rFonts w:hint="eastAsia"/>
                    </w:rPr>
                    <w:t>固体废物</w:t>
                  </w:r>
                </w:p>
              </w:tc>
              <w:tc>
                <w:tcPr>
                  <w:tcW w:w="541" w:type="pct"/>
                  <w:vMerge w:val="restart"/>
                  <w:vAlign w:val="center"/>
                </w:tcPr>
                <w:p>
                  <w:pPr>
                    <w:pStyle w:val="56"/>
                    <w:rPr>
                      <w:lang w:val="en-US" w:eastAsia="zh-CN"/>
                    </w:rPr>
                  </w:pPr>
                  <w:r>
                    <w:rPr>
                      <w:rFonts w:hint="eastAsia"/>
                      <w:lang w:val="en-US" w:eastAsia="zh-CN"/>
                    </w:rPr>
                    <w:t>危险废物</w:t>
                  </w:r>
                </w:p>
              </w:tc>
              <w:tc>
                <w:tcPr>
                  <w:tcW w:w="1046" w:type="pct"/>
                  <w:vAlign w:val="center"/>
                </w:tcPr>
                <w:p>
                  <w:pPr>
                    <w:pStyle w:val="56"/>
                  </w:pPr>
                  <w:r>
                    <w:rPr>
                      <w:rFonts w:hint="eastAsia"/>
                    </w:rPr>
                    <w:t>仪器自动化检测</w:t>
                  </w:r>
                </w:p>
              </w:tc>
              <w:tc>
                <w:tcPr>
                  <w:tcW w:w="560" w:type="pct"/>
                  <w:vAlign w:val="center"/>
                </w:tcPr>
                <w:p>
                  <w:pPr>
                    <w:pStyle w:val="56"/>
                  </w:pPr>
                  <w:r>
                    <w:rPr>
                      <w:rFonts w:hint="eastAsia"/>
                    </w:rPr>
                    <w:t>S1</w:t>
                  </w:r>
                </w:p>
              </w:tc>
              <w:tc>
                <w:tcPr>
                  <w:tcW w:w="2358" w:type="pct"/>
                  <w:gridSpan w:val="2"/>
                  <w:vAlign w:val="center"/>
                </w:tcPr>
                <w:p>
                  <w:pPr>
                    <w:pStyle w:val="56"/>
                  </w:pPr>
                  <w:r>
                    <w:rPr>
                      <w:rFonts w:hint="eastAsia"/>
                    </w:rPr>
                    <w:t>废一次性实验用品、废试剂盒、废弃防护服、废样本及检测废液、废试剂瓶</w:t>
                  </w:r>
                  <w:r>
                    <w:rPr>
                      <w:rFonts w:hint="eastAsia"/>
                      <w:lang w:eastAsia="zh-CN"/>
                    </w:rPr>
                    <w:t>、清洗废液</w:t>
                  </w:r>
                  <w:r>
                    <w:rPr>
                      <w:rFonts w:hint="eastAsia"/>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95" w:type="pct"/>
                  <w:vMerge w:val="continue"/>
                  <w:vAlign w:val="center"/>
                </w:tcPr>
                <w:p>
                  <w:pPr>
                    <w:pStyle w:val="56"/>
                  </w:pPr>
                </w:p>
              </w:tc>
              <w:tc>
                <w:tcPr>
                  <w:tcW w:w="541" w:type="pct"/>
                  <w:vMerge w:val="continue"/>
                  <w:vAlign w:val="center"/>
                </w:tcPr>
                <w:p>
                  <w:pPr>
                    <w:pStyle w:val="56"/>
                  </w:pPr>
                </w:p>
              </w:tc>
              <w:tc>
                <w:tcPr>
                  <w:tcW w:w="1046" w:type="pct"/>
                  <w:vAlign w:val="center"/>
                </w:tcPr>
                <w:p>
                  <w:pPr>
                    <w:pStyle w:val="56"/>
                  </w:pPr>
                  <w:r>
                    <w:rPr>
                      <w:rFonts w:hint="eastAsia"/>
                    </w:rPr>
                    <w:t>废水治理</w:t>
                  </w:r>
                </w:p>
              </w:tc>
              <w:tc>
                <w:tcPr>
                  <w:tcW w:w="560" w:type="pct"/>
                  <w:vAlign w:val="center"/>
                </w:tcPr>
                <w:p>
                  <w:pPr>
                    <w:pStyle w:val="56"/>
                  </w:pPr>
                  <w:r>
                    <w:rPr>
                      <w:rFonts w:hint="eastAsia"/>
                    </w:rPr>
                    <w:t>/</w:t>
                  </w:r>
                </w:p>
              </w:tc>
              <w:tc>
                <w:tcPr>
                  <w:tcW w:w="2358" w:type="pct"/>
                  <w:gridSpan w:val="2"/>
                  <w:vAlign w:val="center"/>
                </w:tcPr>
                <w:p>
                  <w:pPr>
                    <w:pStyle w:val="56"/>
                  </w:pPr>
                  <w:r>
                    <w:rPr>
                      <w:rFonts w:hint="eastAsia"/>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95" w:type="pct"/>
                  <w:vMerge w:val="continue"/>
                  <w:vAlign w:val="center"/>
                </w:tcPr>
                <w:p>
                  <w:pPr>
                    <w:pStyle w:val="56"/>
                  </w:pPr>
                </w:p>
              </w:tc>
              <w:tc>
                <w:tcPr>
                  <w:tcW w:w="541" w:type="pct"/>
                  <w:vMerge w:val="continue"/>
                  <w:vAlign w:val="center"/>
                </w:tcPr>
                <w:p>
                  <w:pPr>
                    <w:pStyle w:val="56"/>
                  </w:pPr>
                </w:p>
              </w:tc>
              <w:tc>
                <w:tcPr>
                  <w:tcW w:w="1046" w:type="pct"/>
                  <w:vAlign w:val="center"/>
                </w:tcPr>
                <w:p>
                  <w:pPr>
                    <w:pStyle w:val="56"/>
                  </w:pPr>
                  <w:r>
                    <w:rPr>
                      <w:rFonts w:hint="eastAsia"/>
                      <w:lang w:eastAsia="zh-CN"/>
                    </w:rPr>
                    <w:t>废气治理</w:t>
                  </w:r>
                </w:p>
              </w:tc>
              <w:tc>
                <w:tcPr>
                  <w:tcW w:w="560" w:type="pct"/>
                  <w:vAlign w:val="center"/>
                </w:tcPr>
                <w:p>
                  <w:pPr>
                    <w:pStyle w:val="56"/>
                    <w:rPr>
                      <w:lang w:eastAsia="zh-CN"/>
                    </w:rPr>
                  </w:pPr>
                  <w:r>
                    <w:rPr>
                      <w:rFonts w:hint="eastAsia"/>
                      <w:lang w:eastAsia="zh-CN"/>
                    </w:rPr>
                    <w:t>/</w:t>
                  </w:r>
                </w:p>
              </w:tc>
              <w:tc>
                <w:tcPr>
                  <w:tcW w:w="2358" w:type="pct"/>
                  <w:gridSpan w:val="2"/>
                  <w:vAlign w:val="center"/>
                </w:tcPr>
                <w:p>
                  <w:pPr>
                    <w:pStyle w:val="56"/>
                    <w:rPr>
                      <w:lang w:eastAsia="zh-CN"/>
                    </w:rPr>
                  </w:pPr>
                  <w:r>
                    <w:rPr>
                      <w:rFonts w:hint="eastAsia"/>
                      <w:lang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95" w:type="pct"/>
                  <w:vMerge w:val="continue"/>
                  <w:vAlign w:val="center"/>
                </w:tcPr>
                <w:p>
                  <w:pPr>
                    <w:pStyle w:val="56"/>
                  </w:pPr>
                </w:p>
              </w:tc>
              <w:tc>
                <w:tcPr>
                  <w:tcW w:w="541" w:type="pct"/>
                  <w:vMerge w:val="continue"/>
                  <w:vAlign w:val="center"/>
                </w:tcPr>
                <w:p>
                  <w:pPr>
                    <w:pStyle w:val="56"/>
                  </w:pPr>
                </w:p>
              </w:tc>
              <w:tc>
                <w:tcPr>
                  <w:tcW w:w="1046" w:type="pct"/>
                  <w:vAlign w:val="center"/>
                </w:tcPr>
                <w:p>
                  <w:pPr>
                    <w:pStyle w:val="56"/>
                  </w:pPr>
                  <w:r>
                    <w:rPr>
                      <w:rFonts w:hint="eastAsia"/>
                    </w:rPr>
                    <w:t>室内排风</w:t>
                  </w:r>
                </w:p>
              </w:tc>
              <w:tc>
                <w:tcPr>
                  <w:tcW w:w="560" w:type="pct"/>
                  <w:vAlign w:val="center"/>
                </w:tcPr>
                <w:p>
                  <w:pPr>
                    <w:pStyle w:val="56"/>
                  </w:pPr>
                  <w:r>
                    <w:rPr>
                      <w:rFonts w:hint="eastAsia"/>
                    </w:rPr>
                    <w:t>/</w:t>
                  </w:r>
                </w:p>
              </w:tc>
              <w:tc>
                <w:tcPr>
                  <w:tcW w:w="2358" w:type="pct"/>
                  <w:gridSpan w:val="2"/>
                  <w:vAlign w:val="center"/>
                </w:tcPr>
                <w:p>
                  <w:pPr>
                    <w:pStyle w:val="56"/>
                  </w:pPr>
                  <w:r>
                    <w:rPr>
                      <w:rFonts w:hint="eastAsia"/>
                    </w:rPr>
                    <w:t>废过滤器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95" w:type="pct"/>
                  <w:vMerge w:val="continue"/>
                  <w:vAlign w:val="center"/>
                </w:tcPr>
                <w:p>
                  <w:pPr>
                    <w:pStyle w:val="56"/>
                  </w:pPr>
                </w:p>
              </w:tc>
              <w:tc>
                <w:tcPr>
                  <w:tcW w:w="541" w:type="pct"/>
                  <w:vMerge w:val="continue"/>
                  <w:vAlign w:val="center"/>
                </w:tcPr>
                <w:p>
                  <w:pPr>
                    <w:pStyle w:val="56"/>
                  </w:pPr>
                </w:p>
              </w:tc>
              <w:tc>
                <w:tcPr>
                  <w:tcW w:w="1046" w:type="pct"/>
                  <w:vAlign w:val="center"/>
                </w:tcPr>
                <w:p>
                  <w:pPr>
                    <w:pStyle w:val="56"/>
                    <w:rPr>
                      <w:lang w:val="en-US" w:eastAsia="zh-CN"/>
                    </w:rPr>
                  </w:pPr>
                  <w:r>
                    <w:rPr>
                      <w:rFonts w:hint="eastAsia"/>
                      <w:lang w:val="en-US" w:eastAsia="zh-CN"/>
                    </w:rPr>
                    <w:t>消毒</w:t>
                  </w:r>
                </w:p>
              </w:tc>
              <w:tc>
                <w:tcPr>
                  <w:tcW w:w="560" w:type="pct"/>
                  <w:vAlign w:val="center"/>
                </w:tcPr>
                <w:p>
                  <w:pPr>
                    <w:pStyle w:val="56"/>
                    <w:rPr>
                      <w:lang w:val="en-US" w:eastAsia="zh-CN"/>
                    </w:rPr>
                  </w:pPr>
                  <w:r>
                    <w:rPr>
                      <w:rFonts w:hint="eastAsia"/>
                      <w:lang w:val="en-US" w:eastAsia="zh-CN"/>
                    </w:rPr>
                    <w:t>/</w:t>
                  </w:r>
                </w:p>
              </w:tc>
              <w:tc>
                <w:tcPr>
                  <w:tcW w:w="2358" w:type="pct"/>
                  <w:gridSpan w:val="2"/>
                  <w:vAlign w:val="center"/>
                </w:tcPr>
                <w:p>
                  <w:pPr>
                    <w:pStyle w:val="56"/>
                    <w:rPr>
                      <w:lang w:val="en-US" w:eastAsia="zh-CN"/>
                    </w:rPr>
                  </w:pPr>
                  <w:r>
                    <w:rPr>
                      <w:rFonts w:hint="eastAsia"/>
                      <w:lang w:val="en-US" w:eastAsia="zh-CN"/>
                    </w:rPr>
                    <w:t>废紫外线灯管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495" w:type="pct"/>
                  <w:vMerge w:val="continue"/>
                  <w:vAlign w:val="center"/>
                </w:tcPr>
                <w:p>
                  <w:pPr>
                    <w:pStyle w:val="56"/>
                  </w:pPr>
                </w:p>
              </w:tc>
              <w:tc>
                <w:tcPr>
                  <w:tcW w:w="541" w:type="pct"/>
                  <w:vMerge w:val="restart"/>
                  <w:vAlign w:val="center"/>
                </w:tcPr>
                <w:p>
                  <w:pPr>
                    <w:pStyle w:val="56"/>
                    <w:rPr>
                      <w:lang w:val="en-US" w:eastAsia="zh-CN"/>
                    </w:rPr>
                  </w:pPr>
                  <w:r>
                    <w:rPr>
                      <w:rFonts w:hint="eastAsia"/>
                      <w:lang w:val="en-US" w:eastAsia="zh-CN"/>
                    </w:rPr>
                    <w:t>一般固废</w:t>
                  </w:r>
                </w:p>
              </w:tc>
              <w:tc>
                <w:tcPr>
                  <w:tcW w:w="1046" w:type="pct"/>
                  <w:vAlign w:val="center"/>
                </w:tcPr>
                <w:p>
                  <w:pPr>
                    <w:pStyle w:val="56"/>
                  </w:pPr>
                  <w:r>
                    <w:rPr>
                      <w:rFonts w:hint="eastAsia"/>
                    </w:rPr>
                    <w:t>纯水制备</w:t>
                  </w:r>
                </w:p>
              </w:tc>
              <w:tc>
                <w:tcPr>
                  <w:tcW w:w="560" w:type="pct"/>
                  <w:vAlign w:val="center"/>
                </w:tcPr>
                <w:p>
                  <w:pPr>
                    <w:pStyle w:val="56"/>
                  </w:pPr>
                  <w:r>
                    <w:rPr>
                      <w:rFonts w:hint="eastAsia"/>
                    </w:rPr>
                    <w:t>/</w:t>
                  </w:r>
                </w:p>
              </w:tc>
              <w:tc>
                <w:tcPr>
                  <w:tcW w:w="2358" w:type="pct"/>
                  <w:gridSpan w:val="2"/>
                  <w:vAlign w:val="center"/>
                </w:tcPr>
                <w:p>
                  <w:pPr>
                    <w:pStyle w:val="56"/>
                  </w:pPr>
                  <w:r>
                    <w:rPr>
                      <w:rFonts w:hint="eastAsia"/>
                    </w:rPr>
                    <w:t>废渗透膜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495" w:type="pct"/>
                  <w:vMerge w:val="continue"/>
                  <w:vAlign w:val="center"/>
                </w:tcPr>
                <w:p>
                  <w:pPr>
                    <w:pStyle w:val="56"/>
                  </w:pPr>
                </w:p>
              </w:tc>
              <w:tc>
                <w:tcPr>
                  <w:tcW w:w="541" w:type="pct"/>
                  <w:vMerge w:val="continue"/>
                  <w:vAlign w:val="center"/>
                </w:tcPr>
                <w:p>
                  <w:pPr>
                    <w:pStyle w:val="56"/>
                    <w:rPr>
                      <w:lang w:val="en-US" w:eastAsia="zh-CN"/>
                    </w:rPr>
                  </w:pPr>
                </w:p>
              </w:tc>
              <w:tc>
                <w:tcPr>
                  <w:tcW w:w="1046" w:type="pct"/>
                  <w:vAlign w:val="center"/>
                </w:tcPr>
                <w:p>
                  <w:pPr>
                    <w:pStyle w:val="56"/>
                    <w:rPr>
                      <w:lang w:val="en-US" w:eastAsia="zh-CN"/>
                    </w:rPr>
                  </w:pPr>
                  <w:r>
                    <w:rPr>
                      <w:rFonts w:hint="eastAsia"/>
                      <w:lang w:val="en-US" w:eastAsia="zh-CN"/>
                    </w:rPr>
                    <w:t>原料包装拆除</w:t>
                  </w:r>
                </w:p>
              </w:tc>
              <w:tc>
                <w:tcPr>
                  <w:tcW w:w="560" w:type="pct"/>
                  <w:vAlign w:val="center"/>
                </w:tcPr>
                <w:p>
                  <w:pPr>
                    <w:pStyle w:val="56"/>
                  </w:pPr>
                </w:p>
              </w:tc>
              <w:tc>
                <w:tcPr>
                  <w:tcW w:w="2358" w:type="pct"/>
                  <w:gridSpan w:val="2"/>
                  <w:vAlign w:val="center"/>
                </w:tcPr>
                <w:p>
                  <w:pPr>
                    <w:pStyle w:val="56"/>
                    <w:rPr>
                      <w:lang w:val="en-US" w:eastAsia="zh-CN"/>
                    </w:rPr>
                  </w:pPr>
                  <w:r>
                    <w:rPr>
                      <w:rFonts w:hint="eastAsia"/>
                      <w:lang w:val="en-US" w:eastAsia="zh-CN"/>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95" w:type="pct"/>
                  <w:vMerge w:val="continue"/>
                  <w:vAlign w:val="center"/>
                </w:tcPr>
                <w:p>
                  <w:pPr>
                    <w:pStyle w:val="56"/>
                  </w:pPr>
                </w:p>
              </w:tc>
              <w:tc>
                <w:tcPr>
                  <w:tcW w:w="541" w:type="pct"/>
                  <w:vMerge w:val="continue"/>
                  <w:vAlign w:val="center"/>
                </w:tcPr>
                <w:p>
                  <w:pPr>
                    <w:pStyle w:val="56"/>
                  </w:pPr>
                </w:p>
              </w:tc>
              <w:tc>
                <w:tcPr>
                  <w:tcW w:w="1046" w:type="pct"/>
                  <w:vAlign w:val="center"/>
                </w:tcPr>
                <w:p>
                  <w:pPr>
                    <w:pStyle w:val="56"/>
                  </w:pPr>
                  <w:r>
                    <w:rPr>
                      <w:rFonts w:hint="eastAsia"/>
                    </w:rPr>
                    <w:t>员工生活</w:t>
                  </w:r>
                </w:p>
              </w:tc>
              <w:tc>
                <w:tcPr>
                  <w:tcW w:w="560" w:type="pct"/>
                  <w:vAlign w:val="center"/>
                </w:tcPr>
                <w:p>
                  <w:pPr>
                    <w:pStyle w:val="56"/>
                  </w:pPr>
                  <w:r>
                    <w:rPr>
                      <w:rFonts w:hint="eastAsia"/>
                    </w:rPr>
                    <w:t>/</w:t>
                  </w:r>
                </w:p>
              </w:tc>
              <w:tc>
                <w:tcPr>
                  <w:tcW w:w="2358" w:type="pct"/>
                  <w:gridSpan w:val="2"/>
                  <w:vAlign w:val="center"/>
                </w:tcPr>
                <w:p>
                  <w:pPr>
                    <w:pStyle w:val="56"/>
                  </w:pPr>
                  <w:r>
                    <w:rPr>
                      <w:rFonts w:hint="eastAsia"/>
                    </w:rPr>
                    <w:t>生活垃圾（卫生纸、果皮等）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6" w:type="pct"/>
                  <w:gridSpan w:val="2"/>
                  <w:vAlign w:val="center"/>
                </w:tcPr>
                <w:p>
                  <w:pPr>
                    <w:pStyle w:val="56"/>
                  </w:pPr>
                  <w:r>
                    <w:rPr>
                      <w:rFonts w:hint="eastAsia"/>
                    </w:rPr>
                    <w:t>噪声</w:t>
                  </w:r>
                </w:p>
              </w:tc>
              <w:tc>
                <w:tcPr>
                  <w:tcW w:w="1046" w:type="pct"/>
                  <w:vAlign w:val="center"/>
                </w:tcPr>
                <w:p>
                  <w:pPr>
                    <w:pStyle w:val="56"/>
                  </w:pPr>
                  <w:r>
                    <w:rPr>
                      <w:rFonts w:hint="eastAsia"/>
                    </w:rPr>
                    <w:t>设备检测</w:t>
                  </w:r>
                </w:p>
              </w:tc>
              <w:tc>
                <w:tcPr>
                  <w:tcW w:w="560" w:type="pct"/>
                  <w:vAlign w:val="center"/>
                </w:tcPr>
                <w:p>
                  <w:pPr>
                    <w:pStyle w:val="56"/>
                  </w:pPr>
                  <w:r>
                    <w:rPr>
                      <w:rFonts w:hint="eastAsia"/>
                    </w:rPr>
                    <w:t>N1</w:t>
                  </w:r>
                </w:p>
              </w:tc>
              <w:tc>
                <w:tcPr>
                  <w:tcW w:w="2358" w:type="pct"/>
                  <w:gridSpan w:val="2"/>
                  <w:vAlign w:val="center"/>
                </w:tcPr>
                <w:p>
                  <w:pPr>
                    <w:pStyle w:val="56"/>
                  </w:pPr>
                  <w:r>
                    <w:rPr>
                      <w:rFonts w:hint="eastAsia"/>
                    </w:rPr>
                    <w:t>设备运行噪声</w:t>
                  </w:r>
                </w:p>
              </w:tc>
            </w:tr>
          </w:tbl>
          <w:p>
            <w:pPr>
              <w:ind w:firstLine="480"/>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8" w:hRule="atLeast"/>
          <w:jc w:val="center"/>
        </w:trPr>
        <w:tc>
          <w:tcPr>
            <w:tcW w:w="1691" w:type="dxa"/>
            <w:vAlign w:val="center"/>
          </w:tcPr>
          <w:p>
            <w:pPr>
              <w:spacing w:line="240" w:lineRule="auto"/>
              <w:ind w:firstLine="0" w:firstLineChars="0"/>
              <w:jc w:val="center"/>
              <w:rPr>
                <w:szCs w:val="21"/>
              </w:rPr>
            </w:pPr>
            <w:r>
              <w:rPr>
                <w:rFonts w:hint="eastAsia"/>
              </w:rPr>
              <w:t>与项目有关的原有环境污染问题</w:t>
            </w:r>
          </w:p>
        </w:tc>
        <w:tc>
          <w:tcPr>
            <w:tcW w:w="7179" w:type="dxa"/>
          </w:tcPr>
          <w:p>
            <w:pPr>
              <w:ind w:firstLine="480"/>
            </w:pPr>
            <w:r>
              <w:rPr>
                <w:rFonts w:hint="eastAsia"/>
              </w:rPr>
              <w:t>本项目为新建项目，无项目原有环境污染问题。</w:t>
            </w:r>
          </w:p>
        </w:tc>
      </w:tr>
    </w:tbl>
    <w:p>
      <w:pPr>
        <w:ind w:firstLine="480"/>
        <w:rPr>
          <w:lang w:val="zh-CN" w:eastAsia="zh-CN"/>
        </w:rPr>
        <w:sectPr>
          <w:pgSz w:w="11906" w:h="16838"/>
          <w:pgMar w:top="1440" w:right="1800" w:bottom="1440" w:left="1800" w:header="851" w:footer="992" w:gutter="0"/>
          <w:cols w:space="720" w:num="1"/>
          <w:docGrid w:type="lines" w:linePitch="326" w:charSpace="0"/>
        </w:sectPr>
      </w:pPr>
    </w:p>
    <w:p>
      <w:pPr>
        <w:pStyle w:val="2"/>
        <w:spacing w:before="326" w:after="326"/>
        <w:rPr>
          <w:lang w:eastAsia="zh-CN"/>
        </w:rPr>
      </w:pPr>
      <w:bookmarkStart w:id="75" w:name="_Toc122338501"/>
      <w:r>
        <w:rPr>
          <w:rFonts w:hint="eastAsia"/>
          <w:lang w:eastAsia="zh-CN"/>
        </w:rPr>
        <w:t>区域环境质量现状、环境保护目标及评价标准</w:t>
      </w:r>
      <w:bookmarkEnd w:id="75"/>
    </w:p>
    <w:tbl>
      <w:tblPr>
        <w:tblStyle w:val="3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78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8" w:hRule="atLeast"/>
          <w:jc w:val="center"/>
        </w:trPr>
        <w:tc>
          <w:tcPr>
            <w:tcW w:w="1335" w:type="dxa"/>
            <w:vAlign w:val="center"/>
          </w:tcPr>
          <w:p>
            <w:pPr>
              <w:spacing w:line="240" w:lineRule="auto"/>
              <w:ind w:firstLine="0" w:firstLineChars="0"/>
              <w:jc w:val="center"/>
              <w:rPr>
                <w:szCs w:val="21"/>
              </w:rPr>
            </w:pPr>
            <w:r>
              <w:rPr>
                <w:rFonts w:hint="eastAsia"/>
              </w:rPr>
              <w:t>区域环境质量现状</w:t>
            </w:r>
          </w:p>
        </w:tc>
        <w:tc>
          <w:tcPr>
            <w:tcW w:w="7535" w:type="dxa"/>
          </w:tcPr>
          <w:p>
            <w:pPr>
              <w:pStyle w:val="3"/>
              <w:rPr>
                <w:lang w:eastAsia="zh-CN"/>
              </w:rPr>
            </w:pPr>
            <w:bookmarkStart w:id="76" w:name="_Toc120889805"/>
            <w:bookmarkStart w:id="77" w:name="_Toc121147734"/>
            <w:bookmarkStart w:id="78" w:name="_Toc122338502"/>
            <w:r>
              <w:rPr>
                <w:rFonts w:hint="eastAsia"/>
                <w:lang w:eastAsia="zh-CN"/>
              </w:rPr>
              <w:t>大气环境质量现状</w:t>
            </w:r>
            <w:bookmarkEnd w:id="76"/>
            <w:bookmarkEnd w:id="77"/>
            <w:bookmarkEnd w:id="78"/>
          </w:p>
          <w:p>
            <w:pPr>
              <w:ind w:firstLine="480"/>
              <w:rPr>
                <w:lang w:val="zh-CN"/>
              </w:rPr>
            </w:pPr>
            <w:r>
              <w:rPr>
                <w:rFonts w:hint="eastAsia"/>
                <w:lang w:val="zh-CN"/>
              </w:rPr>
              <w:t>（1）达标区判定</w:t>
            </w:r>
          </w:p>
          <w:p>
            <w:pPr>
              <w:wordWrap w:val="0"/>
              <w:ind w:firstLine="480"/>
              <w:rPr>
                <w:kern w:val="0"/>
                <w:szCs w:val="24"/>
                <w:lang w:bidi="ar"/>
              </w:rPr>
            </w:pPr>
            <w:r>
              <w:t>根据《茂名市大气环境功能区划图》（见附图8），项目所在区域环境空气功能区划为二类区</w:t>
            </w:r>
            <w:r>
              <w:rPr>
                <w:rFonts w:hint="eastAsia" w:ascii="宋体" w:hAnsi="宋体" w:cs="宋体"/>
                <w:kern w:val="0"/>
                <w:szCs w:val="24"/>
                <w:lang w:bidi="ar"/>
              </w:rPr>
              <w:t>，执行《环境空气质量标准》（</w:t>
            </w:r>
            <w:r>
              <w:rPr>
                <w:rFonts w:eastAsia="CIDFont"/>
                <w:kern w:val="0"/>
                <w:szCs w:val="24"/>
                <w:lang w:bidi="ar"/>
              </w:rPr>
              <w:t>GB3095-2012</w:t>
            </w:r>
            <w:r>
              <w:rPr>
                <w:rFonts w:hint="eastAsia" w:ascii="宋体" w:hAnsi="宋体" w:cs="宋体"/>
                <w:kern w:val="0"/>
                <w:szCs w:val="24"/>
                <w:lang w:bidi="ar"/>
              </w:rPr>
              <w:t>）二级标准及</w:t>
            </w:r>
            <w:r>
              <w:rPr>
                <w:rFonts w:eastAsia="CIDFont"/>
                <w:kern w:val="0"/>
                <w:szCs w:val="24"/>
                <w:lang w:bidi="ar"/>
              </w:rPr>
              <w:t>2018</w:t>
            </w:r>
            <w:r>
              <w:rPr>
                <w:rFonts w:hint="eastAsia" w:ascii="宋体" w:hAnsi="宋体" w:cs="宋体"/>
                <w:kern w:val="0"/>
                <w:szCs w:val="24"/>
                <w:lang w:bidi="ar"/>
              </w:rPr>
              <w:t>年修改单。</w:t>
            </w:r>
            <w:r>
              <w:rPr>
                <w:spacing w:val="6"/>
              </w:rPr>
              <w:t>根据生态环境部环境工程评估中心环境空气质量模型技术支持服务系统（</w:t>
            </w:r>
            <w:r>
              <w:rPr>
                <w:szCs w:val="24"/>
              </w:rPr>
              <w:t>http://www.maoming.gov.cn/zwgk/zwzl/zdlyxxgkzl/hjbhxxgk/kqhjxx/content/post_991411.html</w:t>
            </w:r>
            <w:r>
              <w:rPr>
                <w:spacing w:val="6"/>
              </w:rPr>
              <w:t>），2021年茂名市环境空气质量指标</w:t>
            </w:r>
            <w:r>
              <w:rPr>
                <w:kern w:val="0"/>
                <w:szCs w:val="24"/>
                <w:lang w:bidi="ar"/>
              </w:rPr>
              <w:t>具体监测数据见</w:t>
            </w:r>
            <w:r>
              <w:rPr>
                <w:rFonts w:hint="eastAsia"/>
                <w:kern w:val="0"/>
                <w:szCs w:val="24"/>
                <w:lang w:bidi="ar"/>
              </w:rPr>
              <w:t>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2021</w:t>
            </w:r>
            <w:r>
              <w:rPr>
                <w:rFonts w:hint="eastAsia"/>
              </w:rPr>
              <w:t>年茂名地区环境空气质量监测统计表</w:t>
            </w:r>
          </w:p>
          <w:tbl>
            <w:tblPr>
              <w:tblStyle w:val="36"/>
              <w:tblW w:w="48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980"/>
              <w:gridCol w:w="1192"/>
              <w:gridCol w:w="1189"/>
              <w:gridCol w:w="1189"/>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65" w:type="pct"/>
                  <w:vAlign w:val="center"/>
                </w:tcPr>
                <w:p>
                  <w:pPr>
                    <w:pStyle w:val="56"/>
                  </w:pPr>
                  <w:r>
                    <w:t>污染物</w:t>
                  </w:r>
                </w:p>
              </w:tc>
              <w:tc>
                <w:tcPr>
                  <w:tcW w:w="1333" w:type="pct"/>
                  <w:vAlign w:val="center"/>
                </w:tcPr>
                <w:p>
                  <w:pPr>
                    <w:pStyle w:val="56"/>
                  </w:pPr>
                  <w:r>
                    <w:t>年评价指标</w:t>
                  </w:r>
                </w:p>
              </w:tc>
              <w:tc>
                <w:tcPr>
                  <w:tcW w:w="802" w:type="pct"/>
                  <w:vAlign w:val="center"/>
                </w:tcPr>
                <w:p>
                  <w:pPr>
                    <w:pStyle w:val="56"/>
                  </w:pPr>
                  <w:r>
                    <w:t>现状浓度/（μg/m</w:t>
                  </w:r>
                  <w:r>
                    <w:rPr>
                      <w:vertAlign w:val="superscript"/>
                    </w:rPr>
                    <w:t>3</w:t>
                  </w:r>
                  <w:r>
                    <w:t>）</w:t>
                  </w:r>
                </w:p>
              </w:tc>
              <w:tc>
                <w:tcPr>
                  <w:tcW w:w="800" w:type="pct"/>
                  <w:vAlign w:val="center"/>
                </w:tcPr>
                <w:p>
                  <w:pPr>
                    <w:pStyle w:val="56"/>
                  </w:pPr>
                  <w:r>
                    <w:t>标准值/（μg/m</w:t>
                  </w:r>
                  <w:r>
                    <w:rPr>
                      <w:vertAlign w:val="superscript"/>
                    </w:rPr>
                    <w:t>3</w:t>
                  </w:r>
                  <w:r>
                    <w:t>）</w:t>
                  </w:r>
                </w:p>
              </w:tc>
              <w:tc>
                <w:tcPr>
                  <w:tcW w:w="800" w:type="pct"/>
                  <w:vAlign w:val="center"/>
                </w:tcPr>
                <w:p>
                  <w:pPr>
                    <w:pStyle w:val="56"/>
                  </w:pPr>
                  <w:r>
                    <w:t>占标率/（%）</w:t>
                  </w:r>
                </w:p>
              </w:tc>
              <w:tc>
                <w:tcPr>
                  <w:tcW w:w="800" w:type="pct"/>
                  <w:vAlign w:val="center"/>
                </w:tcPr>
                <w:p>
                  <w:pPr>
                    <w:pStyle w:val="56"/>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65" w:type="pct"/>
                  <w:vAlign w:val="center"/>
                </w:tcPr>
                <w:p>
                  <w:pPr>
                    <w:pStyle w:val="56"/>
                  </w:pPr>
                  <w:r>
                    <w:t>SO</w:t>
                  </w:r>
                  <w:r>
                    <w:rPr>
                      <w:vertAlign w:val="subscript"/>
                    </w:rPr>
                    <w:t>2</w:t>
                  </w:r>
                </w:p>
              </w:tc>
              <w:tc>
                <w:tcPr>
                  <w:tcW w:w="1333" w:type="pct"/>
                  <w:vAlign w:val="center"/>
                </w:tcPr>
                <w:p>
                  <w:pPr>
                    <w:pStyle w:val="56"/>
                  </w:pPr>
                  <w:r>
                    <w:t>年平均质量浓度</w:t>
                  </w:r>
                </w:p>
              </w:tc>
              <w:tc>
                <w:tcPr>
                  <w:tcW w:w="802" w:type="pct"/>
                  <w:vAlign w:val="center"/>
                </w:tcPr>
                <w:p>
                  <w:pPr>
                    <w:pStyle w:val="56"/>
                  </w:pPr>
                  <w:r>
                    <w:t>11</w:t>
                  </w:r>
                </w:p>
              </w:tc>
              <w:tc>
                <w:tcPr>
                  <w:tcW w:w="800" w:type="pct"/>
                  <w:vAlign w:val="center"/>
                </w:tcPr>
                <w:p>
                  <w:pPr>
                    <w:pStyle w:val="56"/>
                  </w:pPr>
                  <w:r>
                    <w:t>60</w:t>
                  </w:r>
                </w:p>
              </w:tc>
              <w:tc>
                <w:tcPr>
                  <w:tcW w:w="800" w:type="pct"/>
                  <w:vAlign w:val="center"/>
                </w:tcPr>
                <w:p>
                  <w:pPr>
                    <w:pStyle w:val="56"/>
                  </w:pPr>
                  <w:r>
                    <w:t>18.3</w:t>
                  </w:r>
                </w:p>
              </w:tc>
              <w:tc>
                <w:tcPr>
                  <w:tcW w:w="800" w:type="pct"/>
                  <w:vAlign w:val="center"/>
                </w:tcPr>
                <w:p>
                  <w:pPr>
                    <w:pStyle w:val="56"/>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65" w:type="pct"/>
                  <w:vAlign w:val="center"/>
                </w:tcPr>
                <w:p>
                  <w:pPr>
                    <w:pStyle w:val="56"/>
                  </w:pPr>
                  <w:r>
                    <w:t>NO</w:t>
                  </w:r>
                  <w:r>
                    <w:rPr>
                      <w:rFonts w:hint="eastAsia"/>
                    </w:rPr>
                    <w:t>x</w:t>
                  </w:r>
                </w:p>
              </w:tc>
              <w:tc>
                <w:tcPr>
                  <w:tcW w:w="1333" w:type="pct"/>
                  <w:vAlign w:val="center"/>
                </w:tcPr>
                <w:p>
                  <w:pPr>
                    <w:pStyle w:val="56"/>
                  </w:pPr>
                  <w:r>
                    <w:t>年平均质量浓度</w:t>
                  </w:r>
                </w:p>
              </w:tc>
              <w:tc>
                <w:tcPr>
                  <w:tcW w:w="802" w:type="pct"/>
                  <w:vAlign w:val="center"/>
                </w:tcPr>
                <w:p>
                  <w:pPr>
                    <w:pStyle w:val="56"/>
                  </w:pPr>
                  <w:r>
                    <w:t>14</w:t>
                  </w:r>
                </w:p>
              </w:tc>
              <w:tc>
                <w:tcPr>
                  <w:tcW w:w="800" w:type="pct"/>
                  <w:vAlign w:val="center"/>
                </w:tcPr>
                <w:p>
                  <w:pPr>
                    <w:pStyle w:val="56"/>
                  </w:pPr>
                  <w:r>
                    <w:t>40</w:t>
                  </w:r>
                </w:p>
              </w:tc>
              <w:tc>
                <w:tcPr>
                  <w:tcW w:w="800" w:type="pct"/>
                  <w:vAlign w:val="center"/>
                </w:tcPr>
                <w:p>
                  <w:pPr>
                    <w:pStyle w:val="56"/>
                  </w:pPr>
                  <w:r>
                    <w:t>35</w:t>
                  </w:r>
                </w:p>
              </w:tc>
              <w:tc>
                <w:tcPr>
                  <w:tcW w:w="800" w:type="pct"/>
                  <w:vAlign w:val="center"/>
                </w:tcPr>
                <w:p>
                  <w:pPr>
                    <w:pStyle w:val="56"/>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65" w:type="pct"/>
                  <w:vAlign w:val="center"/>
                </w:tcPr>
                <w:p>
                  <w:pPr>
                    <w:pStyle w:val="56"/>
                  </w:pPr>
                  <w:r>
                    <w:t>PM</w:t>
                  </w:r>
                  <w:r>
                    <w:rPr>
                      <w:vertAlign w:val="subscript"/>
                    </w:rPr>
                    <w:t>10</w:t>
                  </w:r>
                </w:p>
              </w:tc>
              <w:tc>
                <w:tcPr>
                  <w:tcW w:w="1333" w:type="pct"/>
                  <w:vAlign w:val="center"/>
                </w:tcPr>
                <w:p>
                  <w:pPr>
                    <w:pStyle w:val="56"/>
                  </w:pPr>
                  <w:r>
                    <w:t>年平均质量浓度</w:t>
                  </w:r>
                </w:p>
              </w:tc>
              <w:tc>
                <w:tcPr>
                  <w:tcW w:w="802" w:type="pct"/>
                  <w:vAlign w:val="center"/>
                </w:tcPr>
                <w:p>
                  <w:pPr>
                    <w:pStyle w:val="56"/>
                  </w:pPr>
                  <w:r>
                    <w:t>41</w:t>
                  </w:r>
                </w:p>
              </w:tc>
              <w:tc>
                <w:tcPr>
                  <w:tcW w:w="800" w:type="pct"/>
                  <w:vAlign w:val="center"/>
                </w:tcPr>
                <w:p>
                  <w:pPr>
                    <w:pStyle w:val="56"/>
                  </w:pPr>
                  <w:r>
                    <w:t>70</w:t>
                  </w:r>
                </w:p>
              </w:tc>
              <w:tc>
                <w:tcPr>
                  <w:tcW w:w="800" w:type="pct"/>
                  <w:vAlign w:val="center"/>
                </w:tcPr>
                <w:p>
                  <w:pPr>
                    <w:pStyle w:val="56"/>
                  </w:pPr>
                  <w:r>
                    <w:t>58.6</w:t>
                  </w:r>
                </w:p>
              </w:tc>
              <w:tc>
                <w:tcPr>
                  <w:tcW w:w="800" w:type="pct"/>
                  <w:vAlign w:val="center"/>
                </w:tcPr>
                <w:p>
                  <w:pPr>
                    <w:pStyle w:val="56"/>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65" w:type="pct"/>
                  <w:vAlign w:val="center"/>
                </w:tcPr>
                <w:p>
                  <w:pPr>
                    <w:pStyle w:val="56"/>
                  </w:pPr>
                  <w:r>
                    <w:t>PM</w:t>
                  </w:r>
                  <w:r>
                    <w:rPr>
                      <w:vertAlign w:val="subscript"/>
                    </w:rPr>
                    <w:t>2.5</w:t>
                  </w:r>
                </w:p>
              </w:tc>
              <w:tc>
                <w:tcPr>
                  <w:tcW w:w="1333" w:type="pct"/>
                  <w:vAlign w:val="center"/>
                </w:tcPr>
                <w:p>
                  <w:pPr>
                    <w:pStyle w:val="56"/>
                  </w:pPr>
                  <w:r>
                    <w:t>年平均质量浓度</w:t>
                  </w:r>
                </w:p>
              </w:tc>
              <w:tc>
                <w:tcPr>
                  <w:tcW w:w="802" w:type="pct"/>
                  <w:vAlign w:val="center"/>
                </w:tcPr>
                <w:p>
                  <w:pPr>
                    <w:pStyle w:val="56"/>
                  </w:pPr>
                  <w:r>
                    <w:t>21</w:t>
                  </w:r>
                </w:p>
              </w:tc>
              <w:tc>
                <w:tcPr>
                  <w:tcW w:w="800" w:type="pct"/>
                  <w:vAlign w:val="center"/>
                </w:tcPr>
                <w:p>
                  <w:pPr>
                    <w:pStyle w:val="56"/>
                  </w:pPr>
                  <w:r>
                    <w:t>35</w:t>
                  </w:r>
                </w:p>
              </w:tc>
              <w:tc>
                <w:tcPr>
                  <w:tcW w:w="800" w:type="pct"/>
                  <w:vAlign w:val="center"/>
                </w:tcPr>
                <w:p>
                  <w:pPr>
                    <w:pStyle w:val="56"/>
                  </w:pPr>
                  <w:r>
                    <w:t>60</w:t>
                  </w:r>
                </w:p>
              </w:tc>
              <w:tc>
                <w:tcPr>
                  <w:tcW w:w="800" w:type="pct"/>
                  <w:vAlign w:val="center"/>
                </w:tcPr>
                <w:p>
                  <w:pPr>
                    <w:pStyle w:val="56"/>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65" w:type="pct"/>
                  <w:vAlign w:val="center"/>
                </w:tcPr>
                <w:p>
                  <w:pPr>
                    <w:pStyle w:val="56"/>
                  </w:pPr>
                  <w:r>
                    <w:t>CO</w:t>
                  </w:r>
                </w:p>
              </w:tc>
              <w:tc>
                <w:tcPr>
                  <w:tcW w:w="1333" w:type="pct"/>
                  <w:vAlign w:val="center"/>
                </w:tcPr>
                <w:p>
                  <w:pPr>
                    <w:pStyle w:val="56"/>
                  </w:pPr>
                  <w:r>
                    <w:t>日平均第95百分位数质量浓度</w:t>
                  </w:r>
                </w:p>
              </w:tc>
              <w:tc>
                <w:tcPr>
                  <w:tcW w:w="802" w:type="pct"/>
                  <w:vAlign w:val="center"/>
                </w:tcPr>
                <w:p>
                  <w:pPr>
                    <w:pStyle w:val="56"/>
                  </w:pPr>
                  <w:r>
                    <w:t>0.9</w:t>
                  </w:r>
                </w:p>
              </w:tc>
              <w:tc>
                <w:tcPr>
                  <w:tcW w:w="800" w:type="pct"/>
                  <w:vAlign w:val="center"/>
                </w:tcPr>
                <w:p>
                  <w:pPr>
                    <w:pStyle w:val="56"/>
                  </w:pPr>
                  <w:r>
                    <w:t>4</w:t>
                  </w:r>
                </w:p>
              </w:tc>
              <w:tc>
                <w:tcPr>
                  <w:tcW w:w="800" w:type="pct"/>
                  <w:vAlign w:val="center"/>
                </w:tcPr>
                <w:p>
                  <w:pPr>
                    <w:pStyle w:val="56"/>
                  </w:pPr>
                  <w:r>
                    <w:t>22.5</w:t>
                  </w:r>
                </w:p>
              </w:tc>
              <w:tc>
                <w:tcPr>
                  <w:tcW w:w="800" w:type="pct"/>
                  <w:vAlign w:val="center"/>
                </w:tcPr>
                <w:p>
                  <w:pPr>
                    <w:pStyle w:val="56"/>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465" w:type="pct"/>
                  <w:vAlign w:val="center"/>
                </w:tcPr>
                <w:p>
                  <w:pPr>
                    <w:pStyle w:val="56"/>
                  </w:pPr>
                  <w:r>
                    <w:t>O</w:t>
                  </w:r>
                  <w:r>
                    <w:rPr>
                      <w:vertAlign w:val="subscript"/>
                    </w:rPr>
                    <w:t>3</w:t>
                  </w:r>
                </w:p>
              </w:tc>
              <w:tc>
                <w:tcPr>
                  <w:tcW w:w="1333" w:type="pct"/>
                  <w:vAlign w:val="center"/>
                </w:tcPr>
                <w:p>
                  <w:pPr>
                    <w:pStyle w:val="56"/>
                  </w:pPr>
                  <w:r>
                    <w:t>日最大8小时滑动平均值得第90百分位数</w:t>
                  </w:r>
                </w:p>
              </w:tc>
              <w:tc>
                <w:tcPr>
                  <w:tcW w:w="802" w:type="pct"/>
                  <w:vAlign w:val="center"/>
                </w:tcPr>
                <w:p>
                  <w:pPr>
                    <w:pStyle w:val="56"/>
                  </w:pPr>
                  <w:r>
                    <w:t>125</w:t>
                  </w:r>
                </w:p>
              </w:tc>
              <w:tc>
                <w:tcPr>
                  <w:tcW w:w="800" w:type="pct"/>
                  <w:vAlign w:val="center"/>
                </w:tcPr>
                <w:p>
                  <w:pPr>
                    <w:pStyle w:val="56"/>
                  </w:pPr>
                  <w:r>
                    <w:t>160</w:t>
                  </w:r>
                </w:p>
              </w:tc>
              <w:tc>
                <w:tcPr>
                  <w:tcW w:w="800" w:type="pct"/>
                  <w:vAlign w:val="center"/>
                </w:tcPr>
                <w:p>
                  <w:pPr>
                    <w:pStyle w:val="56"/>
                  </w:pPr>
                  <w:r>
                    <w:t>78.1</w:t>
                  </w:r>
                </w:p>
              </w:tc>
              <w:tc>
                <w:tcPr>
                  <w:tcW w:w="800" w:type="pct"/>
                  <w:vAlign w:val="center"/>
                </w:tcPr>
                <w:p>
                  <w:pPr>
                    <w:pStyle w:val="56"/>
                  </w:pPr>
                  <w:r>
                    <w:t>达标</w:t>
                  </w:r>
                </w:p>
              </w:tc>
            </w:tr>
          </w:tbl>
          <w:p>
            <w:pPr>
              <w:ind w:firstLine="480"/>
            </w:pPr>
            <w:r>
              <w:t>根据上述统计数据，2021年度茂名地区空气质量中各项指标均满足国家二级标准或推荐标准。根据《环境影响评价技术导则-大气环境》（HJ2.2-2018）</w:t>
            </w:r>
            <w:r>
              <w:rPr>
                <w:rFonts w:hint="eastAsia"/>
              </w:rPr>
              <w:t>“</w:t>
            </w:r>
            <w:r>
              <w:t>城市环境空气质量达标情况评价指标为SO</w:t>
            </w:r>
            <w:r>
              <w:rPr>
                <w:vertAlign w:val="subscript"/>
              </w:rPr>
              <w:t>2</w:t>
            </w:r>
            <w:r>
              <w:t>、</w:t>
            </w:r>
            <w:r>
              <w:rPr>
                <w:rFonts w:hint="eastAsia"/>
              </w:rPr>
              <w:t>NO</w:t>
            </w:r>
            <w:r>
              <w:rPr>
                <w:vertAlign w:val="subscript"/>
              </w:rPr>
              <w:t>2</w:t>
            </w:r>
            <w:r>
              <w:rPr>
                <w:rFonts w:hint="eastAsia"/>
              </w:rPr>
              <w:t>、</w:t>
            </w:r>
            <w:r>
              <w:t>PM</w:t>
            </w:r>
            <w:r>
              <w:rPr>
                <w:vertAlign w:val="subscript"/>
              </w:rPr>
              <w:t>10</w:t>
            </w:r>
            <w:r>
              <w:t>、PM</w:t>
            </w:r>
            <w:r>
              <w:rPr>
                <w:vertAlign w:val="subscript"/>
              </w:rPr>
              <w:t>2.5</w:t>
            </w:r>
            <w:r>
              <w:t>、CO、O</w:t>
            </w:r>
            <w:r>
              <w:rPr>
                <w:vertAlign w:val="subscript"/>
              </w:rPr>
              <w:t>3</w:t>
            </w:r>
            <w:r>
              <w:t>，六项污染物全部达标即为城市环境空气质量达标</w:t>
            </w:r>
            <w:r>
              <w:rPr>
                <w:rFonts w:hint="eastAsia"/>
              </w:rPr>
              <w:t>”</w:t>
            </w:r>
            <w:r>
              <w:t>，茂名地区为达标区域。因此，项目所在区域为空气质量达标区域。</w:t>
            </w:r>
          </w:p>
          <w:p>
            <w:pPr>
              <w:ind w:firstLine="480"/>
              <w:rPr>
                <w:lang w:val="zh-CN"/>
              </w:rPr>
            </w:pPr>
            <w:r>
              <w:rPr>
                <w:rFonts w:hint="eastAsia"/>
                <w:lang w:val="zh-CN"/>
              </w:rPr>
              <w:t>（2）特征污染物环境质量现状</w:t>
            </w:r>
          </w:p>
          <w:p>
            <w:pPr>
              <w:ind w:firstLine="448"/>
            </w:pPr>
            <w:r>
              <w:rPr>
                <w:spacing w:val="-8"/>
              </w:rPr>
              <w:t>为了解项目所在</w:t>
            </w:r>
            <w:r>
              <w:rPr>
                <w:kern w:val="0"/>
                <w:szCs w:val="24"/>
                <w:lang w:bidi="ar"/>
              </w:rPr>
              <w:t>区域特征因子</w:t>
            </w:r>
            <w:r>
              <w:rPr>
                <w:rFonts w:hint="eastAsia"/>
                <w:kern w:val="0"/>
                <w:szCs w:val="24"/>
                <w:lang w:bidi="ar"/>
              </w:rPr>
              <w:t>“TVOC、非甲烷总烃、氯化氢、</w:t>
            </w:r>
            <w:r>
              <w:rPr>
                <w:kern w:val="0"/>
                <w:szCs w:val="24"/>
                <w:lang w:bidi="ar"/>
              </w:rPr>
              <w:t>臭气浓度</w:t>
            </w:r>
            <w:r>
              <w:rPr>
                <w:rFonts w:hint="eastAsia"/>
                <w:kern w:val="0"/>
                <w:szCs w:val="24"/>
                <w:lang w:bidi="ar"/>
              </w:rPr>
              <w:t>”</w:t>
            </w:r>
            <w:r>
              <w:rPr>
                <w:kern w:val="0"/>
                <w:szCs w:val="24"/>
                <w:lang w:bidi="ar"/>
              </w:rPr>
              <w:t>大气环境质量现状</w:t>
            </w:r>
            <w:r>
              <w:rPr>
                <w:rFonts w:hint="eastAsia"/>
                <w:kern w:val="0"/>
                <w:szCs w:val="24"/>
                <w:lang w:bidi="ar"/>
              </w:rPr>
              <w:t>，</w:t>
            </w:r>
            <w:r>
              <w:rPr>
                <w:rFonts w:hint="eastAsia"/>
              </w:rPr>
              <w:t>本次特征污染物环境质量现状委托广东众惠环境检测有限公司于2</w:t>
            </w:r>
            <w:r>
              <w:t>022</w:t>
            </w:r>
            <w:r>
              <w:rPr>
                <w:rFonts w:hint="eastAsia"/>
              </w:rPr>
              <w:t>年6月1</w:t>
            </w:r>
            <w:r>
              <w:t>8</w:t>
            </w:r>
            <w:r>
              <w:rPr>
                <w:rFonts w:hint="eastAsia"/>
              </w:rPr>
              <w:t>日-</w:t>
            </w:r>
            <w:r>
              <w:t>2022</w:t>
            </w:r>
            <w:r>
              <w:rPr>
                <w:rFonts w:hint="eastAsia"/>
              </w:rPr>
              <w:t>年6月2</w:t>
            </w:r>
            <w:r>
              <w:t>0</w:t>
            </w:r>
            <w:r>
              <w:rPr>
                <w:rFonts w:hint="eastAsia"/>
              </w:rPr>
              <w:t>日对项目所在区域下风向的1个点位（上坡）进行了为期3天的监测，监测点数据见下表。</w:t>
            </w:r>
          </w:p>
          <w:p>
            <w:pPr>
              <w:pStyle w:val="55"/>
            </w:pPr>
          </w:p>
          <w:p>
            <w:pPr>
              <w:pStyle w:val="55"/>
            </w:pP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大气环境质量现状监测信息一览表</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767"/>
              <w:gridCol w:w="639"/>
              <w:gridCol w:w="1273"/>
              <w:gridCol w:w="1505"/>
              <w:gridCol w:w="1041"/>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pct"/>
                  <w:vAlign w:val="center"/>
                </w:tcPr>
                <w:p>
                  <w:pPr>
                    <w:pStyle w:val="56"/>
                  </w:pPr>
                  <w:r>
                    <w:t>监测点位名称</w:t>
                  </w:r>
                </w:p>
              </w:tc>
              <w:tc>
                <w:tcPr>
                  <w:tcW w:w="920" w:type="pct"/>
                  <w:gridSpan w:val="2"/>
                  <w:vAlign w:val="center"/>
                </w:tcPr>
                <w:p>
                  <w:pPr>
                    <w:pStyle w:val="56"/>
                  </w:pPr>
                  <w:r>
                    <w:t>相对厂址监测点坐标</w:t>
                  </w:r>
                </w:p>
              </w:tc>
              <w:tc>
                <w:tcPr>
                  <w:tcW w:w="833" w:type="pct"/>
                  <w:vAlign w:val="center"/>
                </w:tcPr>
                <w:p>
                  <w:pPr>
                    <w:pStyle w:val="56"/>
                  </w:pPr>
                  <w:r>
                    <w:t>监测因子</w:t>
                  </w:r>
                </w:p>
              </w:tc>
              <w:tc>
                <w:tcPr>
                  <w:tcW w:w="985" w:type="pct"/>
                  <w:vAlign w:val="center"/>
                </w:tcPr>
                <w:p>
                  <w:pPr>
                    <w:pStyle w:val="56"/>
                  </w:pPr>
                  <w:r>
                    <w:rPr>
                      <w:rFonts w:hint="eastAsia"/>
                    </w:rPr>
                    <w:t>取值时间</w:t>
                  </w:r>
                </w:p>
              </w:tc>
              <w:tc>
                <w:tcPr>
                  <w:tcW w:w="681" w:type="pct"/>
                  <w:vAlign w:val="center"/>
                </w:tcPr>
                <w:p>
                  <w:pPr>
                    <w:pStyle w:val="56"/>
                  </w:pPr>
                  <w:r>
                    <w:t>相对项目方向</w:t>
                  </w:r>
                </w:p>
              </w:tc>
              <w:tc>
                <w:tcPr>
                  <w:tcW w:w="836" w:type="pct"/>
                  <w:vAlign w:val="center"/>
                </w:tcPr>
                <w:p>
                  <w:pPr>
                    <w:pStyle w:val="56"/>
                  </w:pPr>
                  <w:r>
                    <w:t>相对项设施距离/m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5" w:type="pct"/>
                  <w:vMerge w:val="restart"/>
                  <w:vAlign w:val="center"/>
                </w:tcPr>
                <w:p>
                  <w:pPr>
                    <w:pStyle w:val="56"/>
                    <w:rPr>
                      <w:lang w:val="en-US"/>
                    </w:rPr>
                  </w:pPr>
                  <w:r>
                    <w:rPr>
                      <w:rFonts w:hint="eastAsia"/>
                      <w:lang w:val="en-US"/>
                    </w:rPr>
                    <w:t>上坡</w:t>
                  </w:r>
                </w:p>
              </w:tc>
              <w:tc>
                <w:tcPr>
                  <w:tcW w:w="502" w:type="pct"/>
                  <w:vMerge w:val="restart"/>
                  <w:vAlign w:val="center"/>
                </w:tcPr>
                <w:p>
                  <w:pPr>
                    <w:pStyle w:val="56"/>
                    <w:rPr>
                      <w:lang w:val="en-US"/>
                    </w:rPr>
                  </w:pPr>
                  <w:r>
                    <w:rPr>
                      <w:lang w:val="en-US"/>
                    </w:rPr>
                    <w:t>-116</w:t>
                  </w:r>
                </w:p>
              </w:tc>
              <w:tc>
                <w:tcPr>
                  <w:tcW w:w="418" w:type="pct"/>
                  <w:vMerge w:val="restart"/>
                  <w:vAlign w:val="center"/>
                </w:tcPr>
                <w:p>
                  <w:pPr>
                    <w:pStyle w:val="56"/>
                    <w:rPr>
                      <w:lang w:val="en-US"/>
                    </w:rPr>
                  </w:pPr>
                  <w:r>
                    <w:rPr>
                      <w:lang w:val="en-US"/>
                    </w:rPr>
                    <w:t>87</w:t>
                  </w:r>
                </w:p>
              </w:tc>
              <w:tc>
                <w:tcPr>
                  <w:tcW w:w="833" w:type="pct"/>
                  <w:vAlign w:val="center"/>
                </w:tcPr>
                <w:p>
                  <w:pPr>
                    <w:pStyle w:val="56"/>
                    <w:rPr>
                      <w:lang w:val="en-US"/>
                    </w:rPr>
                  </w:pPr>
                  <w:r>
                    <w:rPr>
                      <w:rFonts w:hint="eastAsia"/>
                      <w:lang w:val="en-US"/>
                    </w:rPr>
                    <w:t>非甲烷总烃</w:t>
                  </w:r>
                </w:p>
              </w:tc>
              <w:tc>
                <w:tcPr>
                  <w:tcW w:w="985" w:type="pct"/>
                  <w:vAlign w:val="center"/>
                </w:tcPr>
                <w:p>
                  <w:pPr>
                    <w:pStyle w:val="56"/>
                  </w:pPr>
                  <w:r>
                    <w:rPr>
                      <w:rFonts w:hint="eastAsia"/>
                    </w:rPr>
                    <w:t>1小时平均值</w:t>
                  </w:r>
                </w:p>
              </w:tc>
              <w:tc>
                <w:tcPr>
                  <w:tcW w:w="681" w:type="pct"/>
                  <w:vMerge w:val="restart"/>
                  <w:vAlign w:val="center"/>
                </w:tcPr>
                <w:p>
                  <w:pPr>
                    <w:pStyle w:val="56"/>
                  </w:pPr>
                  <w:r>
                    <w:rPr>
                      <w:rFonts w:hint="eastAsia"/>
                    </w:rPr>
                    <w:t>西北</w:t>
                  </w:r>
                </w:p>
              </w:tc>
              <w:tc>
                <w:tcPr>
                  <w:tcW w:w="836" w:type="pct"/>
                  <w:vMerge w:val="restart"/>
                  <w:vAlign w:val="center"/>
                </w:tcPr>
                <w:p>
                  <w:pPr>
                    <w:pStyle w:val="56"/>
                    <w:rPr>
                      <w:lang w:val="en-US"/>
                    </w:rPr>
                  </w:pPr>
                  <w:r>
                    <w:rPr>
                      <w:lang w:val="en-US"/>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5" w:type="pct"/>
                  <w:vMerge w:val="continue"/>
                  <w:vAlign w:val="center"/>
                </w:tcPr>
                <w:p>
                  <w:pPr>
                    <w:pStyle w:val="56"/>
                    <w:rPr>
                      <w:lang w:val="en-US"/>
                    </w:rPr>
                  </w:pPr>
                </w:p>
              </w:tc>
              <w:tc>
                <w:tcPr>
                  <w:tcW w:w="502" w:type="pct"/>
                  <w:vMerge w:val="continue"/>
                  <w:vAlign w:val="center"/>
                </w:tcPr>
                <w:p>
                  <w:pPr>
                    <w:pStyle w:val="56"/>
                    <w:rPr>
                      <w:lang w:val="en-US"/>
                    </w:rPr>
                  </w:pPr>
                </w:p>
              </w:tc>
              <w:tc>
                <w:tcPr>
                  <w:tcW w:w="418" w:type="pct"/>
                  <w:vMerge w:val="continue"/>
                  <w:vAlign w:val="center"/>
                </w:tcPr>
                <w:p>
                  <w:pPr>
                    <w:pStyle w:val="56"/>
                    <w:rPr>
                      <w:lang w:val="en-US"/>
                    </w:rPr>
                  </w:pPr>
                </w:p>
              </w:tc>
              <w:tc>
                <w:tcPr>
                  <w:tcW w:w="833" w:type="pct"/>
                  <w:vAlign w:val="center"/>
                </w:tcPr>
                <w:p>
                  <w:pPr>
                    <w:pStyle w:val="56"/>
                    <w:rPr>
                      <w:lang w:val="en-US"/>
                    </w:rPr>
                  </w:pPr>
                  <w:r>
                    <w:rPr>
                      <w:rFonts w:hint="eastAsia"/>
                      <w:lang w:val="en-US"/>
                    </w:rPr>
                    <w:t>TVOC</w:t>
                  </w:r>
                </w:p>
              </w:tc>
              <w:tc>
                <w:tcPr>
                  <w:tcW w:w="985" w:type="pct"/>
                  <w:vAlign w:val="center"/>
                </w:tcPr>
                <w:p>
                  <w:pPr>
                    <w:pStyle w:val="56"/>
                  </w:pPr>
                  <w:r>
                    <w:t>8</w:t>
                  </w:r>
                  <w:r>
                    <w:rPr>
                      <w:rFonts w:hint="eastAsia"/>
                    </w:rPr>
                    <w:t>小时平均值</w:t>
                  </w:r>
                </w:p>
              </w:tc>
              <w:tc>
                <w:tcPr>
                  <w:tcW w:w="681" w:type="pct"/>
                  <w:vMerge w:val="continue"/>
                  <w:vAlign w:val="center"/>
                </w:tcPr>
                <w:p>
                  <w:pPr>
                    <w:pStyle w:val="56"/>
                  </w:pPr>
                </w:p>
              </w:tc>
              <w:tc>
                <w:tcPr>
                  <w:tcW w:w="836" w:type="pct"/>
                  <w:vMerge w:val="continue"/>
                  <w:vAlign w:val="center"/>
                </w:tcPr>
                <w:p>
                  <w:pPr>
                    <w:pStyle w:val="56"/>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5" w:type="pct"/>
                  <w:vMerge w:val="continue"/>
                  <w:vAlign w:val="center"/>
                </w:tcPr>
                <w:p>
                  <w:pPr>
                    <w:pStyle w:val="56"/>
                    <w:rPr>
                      <w:lang w:val="en-US"/>
                    </w:rPr>
                  </w:pPr>
                </w:p>
              </w:tc>
              <w:tc>
                <w:tcPr>
                  <w:tcW w:w="502" w:type="pct"/>
                  <w:vMerge w:val="continue"/>
                  <w:vAlign w:val="center"/>
                </w:tcPr>
                <w:p>
                  <w:pPr>
                    <w:pStyle w:val="56"/>
                    <w:rPr>
                      <w:lang w:val="en-US"/>
                    </w:rPr>
                  </w:pPr>
                </w:p>
              </w:tc>
              <w:tc>
                <w:tcPr>
                  <w:tcW w:w="418" w:type="pct"/>
                  <w:vMerge w:val="continue"/>
                  <w:vAlign w:val="center"/>
                </w:tcPr>
                <w:p>
                  <w:pPr>
                    <w:pStyle w:val="56"/>
                    <w:rPr>
                      <w:lang w:val="en-US"/>
                    </w:rPr>
                  </w:pPr>
                </w:p>
              </w:tc>
              <w:tc>
                <w:tcPr>
                  <w:tcW w:w="833" w:type="pct"/>
                  <w:vAlign w:val="center"/>
                </w:tcPr>
                <w:p>
                  <w:pPr>
                    <w:pStyle w:val="56"/>
                    <w:rPr>
                      <w:lang w:val="en-US"/>
                    </w:rPr>
                  </w:pPr>
                  <w:r>
                    <w:rPr>
                      <w:rFonts w:hint="eastAsia"/>
                      <w:lang w:val="en-US"/>
                    </w:rPr>
                    <w:t>臭气浓度</w:t>
                  </w:r>
                </w:p>
              </w:tc>
              <w:tc>
                <w:tcPr>
                  <w:tcW w:w="985" w:type="pct"/>
                  <w:vAlign w:val="center"/>
                </w:tcPr>
                <w:p>
                  <w:pPr>
                    <w:pStyle w:val="56"/>
                  </w:pPr>
                  <w:r>
                    <w:rPr>
                      <w:rFonts w:hint="eastAsia"/>
                    </w:rPr>
                    <w:t>一次最大值</w:t>
                  </w:r>
                </w:p>
              </w:tc>
              <w:tc>
                <w:tcPr>
                  <w:tcW w:w="681" w:type="pct"/>
                  <w:vMerge w:val="continue"/>
                  <w:vAlign w:val="center"/>
                </w:tcPr>
                <w:p>
                  <w:pPr>
                    <w:pStyle w:val="56"/>
                  </w:pPr>
                </w:p>
              </w:tc>
              <w:tc>
                <w:tcPr>
                  <w:tcW w:w="836" w:type="pct"/>
                  <w:vMerge w:val="continue"/>
                  <w:vAlign w:val="center"/>
                </w:tcPr>
                <w:p>
                  <w:pPr>
                    <w:pStyle w:val="56"/>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5" w:type="pct"/>
                  <w:vMerge w:val="continue"/>
                  <w:vAlign w:val="center"/>
                </w:tcPr>
                <w:p>
                  <w:pPr>
                    <w:pStyle w:val="56"/>
                    <w:rPr>
                      <w:lang w:val="en-US"/>
                    </w:rPr>
                  </w:pPr>
                </w:p>
              </w:tc>
              <w:tc>
                <w:tcPr>
                  <w:tcW w:w="502" w:type="pct"/>
                  <w:vMerge w:val="continue"/>
                  <w:vAlign w:val="center"/>
                </w:tcPr>
                <w:p>
                  <w:pPr>
                    <w:pStyle w:val="56"/>
                    <w:rPr>
                      <w:lang w:val="en-US"/>
                    </w:rPr>
                  </w:pPr>
                </w:p>
              </w:tc>
              <w:tc>
                <w:tcPr>
                  <w:tcW w:w="418" w:type="pct"/>
                  <w:vMerge w:val="continue"/>
                  <w:vAlign w:val="center"/>
                </w:tcPr>
                <w:p>
                  <w:pPr>
                    <w:pStyle w:val="56"/>
                    <w:rPr>
                      <w:lang w:val="en-US"/>
                    </w:rPr>
                  </w:pPr>
                </w:p>
              </w:tc>
              <w:tc>
                <w:tcPr>
                  <w:tcW w:w="833" w:type="pct"/>
                  <w:vMerge w:val="restart"/>
                  <w:vAlign w:val="center"/>
                </w:tcPr>
                <w:p>
                  <w:pPr>
                    <w:pStyle w:val="56"/>
                  </w:pPr>
                  <w:r>
                    <w:rPr>
                      <w:rFonts w:hint="eastAsia"/>
                    </w:rPr>
                    <w:t>氯化氢</w:t>
                  </w:r>
                </w:p>
              </w:tc>
              <w:tc>
                <w:tcPr>
                  <w:tcW w:w="985" w:type="pct"/>
                  <w:vAlign w:val="center"/>
                </w:tcPr>
                <w:p>
                  <w:pPr>
                    <w:pStyle w:val="56"/>
                  </w:pPr>
                  <w:r>
                    <w:rPr>
                      <w:rFonts w:hint="eastAsia"/>
                    </w:rPr>
                    <w:t>1小时平均值</w:t>
                  </w:r>
                </w:p>
              </w:tc>
              <w:tc>
                <w:tcPr>
                  <w:tcW w:w="681" w:type="pct"/>
                  <w:vMerge w:val="continue"/>
                  <w:vAlign w:val="center"/>
                </w:tcPr>
                <w:p>
                  <w:pPr>
                    <w:pStyle w:val="56"/>
                  </w:pPr>
                </w:p>
              </w:tc>
              <w:tc>
                <w:tcPr>
                  <w:tcW w:w="836" w:type="pct"/>
                  <w:vMerge w:val="continue"/>
                  <w:vAlign w:val="center"/>
                </w:tcPr>
                <w:p>
                  <w:pPr>
                    <w:pStyle w:val="56"/>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5" w:type="pct"/>
                  <w:vMerge w:val="continue"/>
                  <w:vAlign w:val="center"/>
                </w:tcPr>
                <w:p>
                  <w:pPr>
                    <w:pStyle w:val="56"/>
                  </w:pPr>
                </w:p>
              </w:tc>
              <w:tc>
                <w:tcPr>
                  <w:tcW w:w="502" w:type="pct"/>
                  <w:vMerge w:val="continue"/>
                  <w:vAlign w:val="center"/>
                </w:tcPr>
                <w:p>
                  <w:pPr>
                    <w:pStyle w:val="56"/>
                  </w:pPr>
                </w:p>
              </w:tc>
              <w:tc>
                <w:tcPr>
                  <w:tcW w:w="418" w:type="pct"/>
                  <w:vMerge w:val="continue"/>
                  <w:vAlign w:val="center"/>
                </w:tcPr>
                <w:p>
                  <w:pPr>
                    <w:pStyle w:val="56"/>
                  </w:pPr>
                </w:p>
              </w:tc>
              <w:tc>
                <w:tcPr>
                  <w:tcW w:w="833" w:type="pct"/>
                  <w:vMerge w:val="continue"/>
                  <w:vAlign w:val="center"/>
                </w:tcPr>
                <w:p>
                  <w:pPr>
                    <w:pStyle w:val="56"/>
                    <w:rPr>
                      <w:lang w:val="en-US"/>
                    </w:rPr>
                  </w:pPr>
                </w:p>
              </w:tc>
              <w:tc>
                <w:tcPr>
                  <w:tcW w:w="985" w:type="pct"/>
                  <w:vAlign w:val="center"/>
                </w:tcPr>
                <w:p>
                  <w:pPr>
                    <w:pStyle w:val="56"/>
                  </w:pPr>
                  <w:r>
                    <w:rPr>
                      <w:rFonts w:hint="eastAsia"/>
                    </w:rPr>
                    <w:t>日均值</w:t>
                  </w:r>
                </w:p>
              </w:tc>
              <w:tc>
                <w:tcPr>
                  <w:tcW w:w="681" w:type="pct"/>
                  <w:vMerge w:val="continue"/>
                  <w:vAlign w:val="center"/>
                </w:tcPr>
                <w:p>
                  <w:pPr>
                    <w:pStyle w:val="56"/>
                    <w:rPr>
                      <w:lang w:val="en-US"/>
                    </w:rPr>
                  </w:pPr>
                </w:p>
              </w:tc>
              <w:tc>
                <w:tcPr>
                  <w:tcW w:w="836" w:type="pct"/>
                  <w:vMerge w:val="continue"/>
                  <w:vAlign w:val="center"/>
                </w:tcPr>
                <w:p>
                  <w:pPr>
                    <w:pStyle w:val="56"/>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7"/>
                  <w:vAlign w:val="center"/>
                </w:tcPr>
                <w:p>
                  <w:pPr>
                    <w:pStyle w:val="56"/>
                    <w:wordWrap w:val="0"/>
                    <w:jc w:val="both"/>
                    <w:rPr>
                      <w:lang w:val="en-US"/>
                    </w:rPr>
                  </w:pPr>
                  <w:r>
                    <w:rPr>
                      <w:rFonts w:hint="eastAsia"/>
                      <w:lang w:val="en-US"/>
                    </w:rPr>
                    <w:t>注：以项目中心作为相对坐标原点（E</w:t>
                  </w:r>
                  <w:r>
                    <w:rPr>
                      <w:lang w:val="en-US"/>
                    </w:rPr>
                    <w:t>110°57′47.52445″,</w:t>
                  </w:r>
                  <w:r>
                    <w:rPr>
                      <w:rFonts w:hint="eastAsia"/>
                      <w:lang w:val="en-US"/>
                    </w:rPr>
                    <w:t>N</w:t>
                  </w:r>
                  <w:r>
                    <w:rPr>
                      <w:lang w:val="en-US"/>
                    </w:rPr>
                    <w:t>21°35′27.14523″</w:t>
                  </w:r>
                  <w:r>
                    <w:rPr>
                      <w:rFonts w:hint="eastAsia"/>
                      <w:lang w:val="en-US"/>
                    </w:rPr>
                    <w:t>）</w:t>
                  </w:r>
                  <w:r>
                    <w:rPr>
                      <w:rFonts w:hint="eastAsia"/>
                    </w:rPr>
                    <w:t>，正东向为X轴正向，正北向为Y轴正向；相对厂界距离取距离厂址最近点位置</w:t>
                  </w:r>
                </w:p>
              </w:tc>
            </w:tr>
          </w:tbl>
          <w:p>
            <w:pPr>
              <w:pStyle w:val="56"/>
              <w:rPr>
                <w:lang w:val="en-US"/>
              </w:rPr>
            </w:pPr>
          </w:p>
          <w:p>
            <w:pPr>
              <w:pStyle w:val="56"/>
              <w:keepNext/>
            </w:pPr>
            <w:r>
              <w:drawing>
                <wp:inline distT="0" distB="0" distL="0" distR="0">
                  <wp:extent cx="4316730" cy="26060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cstate="email"/>
                          <a:stretch>
                            <a:fillRect/>
                          </a:stretch>
                        </pic:blipFill>
                        <pic:spPr>
                          <a:xfrm>
                            <a:off x="0" y="0"/>
                            <a:ext cx="4338973" cy="2619787"/>
                          </a:xfrm>
                          <a:prstGeom prst="rect">
                            <a:avLst/>
                          </a:prstGeom>
                        </pic:spPr>
                      </pic:pic>
                    </a:graphicData>
                  </a:graphic>
                </wp:inline>
              </w:drawing>
            </w:r>
          </w:p>
          <w:p>
            <w:pPr>
              <w:pStyle w:val="55"/>
              <w:rPr>
                <w:lang w:eastAsia="zh-CN"/>
              </w:rP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大气环境质量现状监测点位</w:t>
            </w:r>
            <w:r>
              <w:rPr>
                <w:rFonts w:hint="eastAsia"/>
                <w:lang w:eastAsia="zh-CN"/>
              </w:rPr>
              <w:t>（上坡）</w:t>
            </w:r>
          </w:p>
          <w:p>
            <w:pPr>
              <w:ind w:firstLine="480"/>
              <w:rPr>
                <w:lang w:val="zh-CN"/>
              </w:rPr>
            </w:pPr>
            <w:r>
              <w:rPr>
                <w:rFonts w:hint="eastAsia"/>
                <w:lang w:val="zh-CN"/>
              </w:rPr>
              <w:t>监测数据见下表。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其他污染物质量现状监测结果</w:t>
            </w:r>
            <w:r>
              <w:rPr>
                <w:rFonts w:hint="eastAsia"/>
                <w:lang w:eastAsia="zh-CN"/>
              </w:rPr>
              <w:t>（上坡）</w:t>
            </w:r>
          </w:p>
          <w:tbl>
            <w:tblPr>
              <w:tblStyle w:val="36"/>
              <w:tblW w:w="5000" w:type="pct"/>
              <w:tblInd w:w="0" w:type="dxa"/>
              <w:tblLayout w:type="autofit"/>
              <w:tblCellMar>
                <w:top w:w="0" w:type="dxa"/>
                <w:left w:w="108" w:type="dxa"/>
                <w:bottom w:w="0" w:type="dxa"/>
                <w:right w:w="108" w:type="dxa"/>
              </w:tblCellMar>
            </w:tblPr>
            <w:tblGrid>
              <w:gridCol w:w="1150"/>
              <w:gridCol w:w="752"/>
              <w:gridCol w:w="864"/>
              <w:gridCol w:w="1402"/>
              <w:gridCol w:w="1165"/>
              <w:gridCol w:w="1163"/>
              <w:gridCol w:w="1160"/>
            </w:tblGrid>
            <w:tr>
              <w:tblPrEx>
                <w:tblCellMar>
                  <w:top w:w="0" w:type="dxa"/>
                  <w:left w:w="108" w:type="dxa"/>
                  <w:bottom w:w="0" w:type="dxa"/>
                  <w:right w:w="108" w:type="dxa"/>
                </w:tblCellMar>
              </w:tblPrEx>
              <w:trPr>
                <w:trHeight w:val="20" w:hRule="atLeast"/>
              </w:trPr>
              <w:tc>
                <w:tcPr>
                  <w:tcW w:w="1064"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采样时段</w:t>
                  </w:r>
                </w:p>
              </w:tc>
              <w:tc>
                <w:tcPr>
                  <w:tcW w:w="3936" w:type="pct"/>
                  <w:gridSpan w:val="5"/>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检测结果（单位：mg/m</w:t>
                  </w:r>
                  <w:r>
                    <w:rPr>
                      <w:kern w:val="0"/>
                      <w:sz w:val="20"/>
                      <w:szCs w:val="20"/>
                      <w:vertAlign w:val="superscript"/>
                    </w:rPr>
                    <w:t>3</w:t>
                  </w:r>
                  <w:r>
                    <w:rPr>
                      <w:kern w:val="0"/>
                      <w:sz w:val="20"/>
                      <w:szCs w:val="20"/>
                    </w:rPr>
                    <w:t>，注明者除外）</w:t>
                  </w:r>
                </w:p>
              </w:tc>
            </w:tr>
            <w:tr>
              <w:tblPrEx>
                <w:tblCellMar>
                  <w:top w:w="0" w:type="dxa"/>
                  <w:left w:w="108" w:type="dxa"/>
                  <w:bottom w:w="0" w:type="dxa"/>
                  <w:right w:w="108" w:type="dxa"/>
                </w:tblCellMar>
              </w:tblPrEx>
              <w:trPr>
                <w:trHeight w:val="20" w:hRule="atLeast"/>
              </w:trPr>
              <w:tc>
                <w:tcPr>
                  <w:tcW w:w="1064"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kern w:val="0"/>
                      <w:sz w:val="20"/>
                      <w:szCs w:val="20"/>
                    </w:rPr>
                  </w:pPr>
                </w:p>
              </w:tc>
              <w:tc>
                <w:tcPr>
                  <w:tcW w:w="6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TVOC</w:t>
                  </w:r>
                </w:p>
              </w:tc>
              <w:tc>
                <w:tcPr>
                  <w:tcW w:w="95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非甲烷总烃</w:t>
                  </w:r>
                </w:p>
              </w:tc>
              <w:tc>
                <w:tcPr>
                  <w:tcW w:w="7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臭气浓度</w:t>
                  </w:r>
                </w:p>
              </w:tc>
              <w:tc>
                <w:tcPr>
                  <w:tcW w:w="1588" w:type="pct"/>
                  <w:gridSpan w:val="2"/>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氯化氢</w:t>
                  </w:r>
                </w:p>
              </w:tc>
            </w:tr>
            <w:tr>
              <w:tblPrEx>
                <w:tblCellMar>
                  <w:top w:w="0" w:type="dxa"/>
                  <w:left w:w="108" w:type="dxa"/>
                  <w:bottom w:w="0" w:type="dxa"/>
                  <w:right w:w="108" w:type="dxa"/>
                </w:tblCellMar>
              </w:tblPrEx>
              <w:trPr>
                <w:trHeight w:val="20" w:hRule="atLeast"/>
              </w:trPr>
              <w:tc>
                <w:tcPr>
                  <w:tcW w:w="1064"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kern w:val="0"/>
                      <w:sz w:val="20"/>
                      <w:szCs w:val="20"/>
                    </w:rPr>
                  </w:pPr>
                </w:p>
              </w:tc>
              <w:tc>
                <w:tcPr>
                  <w:tcW w:w="600" w:type="pct"/>
                  <w:tcBorders>
                    <w:top w:val="nil"/>
                    <w:left w:val="nil"/>
                    <w:bottom w:val="nil"/>
                    <w:right w:val="single" w:color="auto"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8小时平均</w:t>
                  </w:r>
                </w:p>
              </w:tc>
              <w:tc>
                <w:tcPr>
                  <w:tcW w:w="951" w:type="pct"/>
                  <w:tcBorders>
                    <w:top w:val="nil"/>
                    <w:left w:val="nil"/>
                    <w:bottom w:val="nil"/>
                    <w:right w:val="single" w:color="auto"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小时平均</w:t>
                  </w:r>
                </w:p>
              </w:tc>
              <w:tc>
                <w:tcPr>
                  <w:tcW w:w="796" w:type="pct"/>
                  <w:tcBorders>
                    <w:top w:val="nil"/>
                    <w:left w:val="nil"/>
                    <w:bottom w:val="nil"/>
                    <w:right w:val="single" w:color="auto"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小时平均</w:t>
                  </w:r>
                </w:p>
              </w:tc>
              <w:tc>
                <w:tcPr>
                  <w:tcW w:w="795" w:type="pct"/>
                  <w:tcBorders>
                    <w:top w:val="nil"/>
                    <w:left w:val="nil"/>
                    <w:bottom w:val="nil"/>
                    <w:right w:val="single" w:color="auto"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小时平均</w:t>
                  </w:r>
                </w:p>
              </w:tc>
              <w:tc>
                <w:tcPr>
                  <w:tcW w:w="793" w:type="pct"/>
                  <w:tcBorders>
                    <w:top w:val="nil"/>
                    <w:left w:val="nil"/>
                    <w:bottom w:val="nil"/>
                    <w:right w:val="single" w:color="auto"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日平均</w:t>
                  </w:r>
                </w:p>
              </w:tc>
            </w:tr>
            <w:tr>
              <w:tblPrEx>
                <w:tblCellMar>
                  <w:top w:w="0" w:type="dxa"/>
                  <w:left w:w="108" w:type="dxa"/>
                  <w:bottom w:w="0" w:type="dxa"/>
                  <w:right w:w="108" w:type="dxa"/>
                </w:tblCellMar>
              </w:tblPrEx>
              <w:trPr>
                <w:trHeight w:val="20" w:hRule="atLeast"/>
              </w:trPr>
              <w:tc>
                <w:tcPr>
                  <w:tcW w:w="538" w:type="pct"/>
                  <w:vMerge w:val="restart"/>
                  <w:tcBorders>
                    <w:top w:val="single" w:color="auto" w:sz="4" w:space="0"/>
                    <w:left w:val="single" w:color="auto" w:sz="4" w:space="0"/>
                    <w:bottom w:val="single" w:color="auto" w:sz="4" w:space="0"/>
                    <w:right w:val="nil"/>
                  </w:tcBorders>
                  <w:shd w:val="clear" w:color="000000" w:fill="FFFFFF"/>
                  <w:vAlign w:val="center"/>
                </w:tcPr>
                <w:p>
                  <w:pPr>
                    <w:widowControl/>
                    <w:adjustRightInd/>
                    <w:snapToGrid/>
                    <w:spacing w:line="240" w:lineRule="auto"/>
                    <w:ind w:firstLine="0" w:firstLineChars="0"/>
                    <w:jc w:val="center"/>
                    <w:rPr>
                      <w:kern w:val="0"/>
                      <w:sz w:val="20"/>
                      <w:szCs w:val="20"/>
                    </w:rPr>
                  </w:pPr>
                  <w:r>
                    <w:rPr>
                      <w:kern w:val="0"/>
                      <w:sz w:val="20"/>
                      <w:szCs w:val="20"/>
                    </w:rPr>
                    <w:t>2022-06-18</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02:00</w:t>
                  </w:r>
                </w:p>
              </w:tc>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0.2266</w:t>
                  </w:r>
                </w:p>
              </w:tc>
              <w:tc>
                <w:tcPr>
                  <w:tcW w:w="951"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0.87</w:t>
                  </w:r>
                </w:p>
              </w:tc>
              <w:tc>
                <w:tcPr>
                  <w:tcW w:w="796" w:type="pct"/>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single" w:color="000000" w:sz="4" w:space="0"/>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restart"/>
                  <w:tcBorders>
                    <w:top w:val="single" w:color="000000" w:sz="4" w:space="0"/>
                    <w:left w:val="nil"/>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r>
            <w:tr>
              <w:tblPrEx>
                <w:tblCellMar>
                  <w:top w:w="0" w:type="dxa"/>
                  <w:left w:w="108" w:type="dxa"/>
                  <w:bottom w:w="0" w:type="dxa"/>
                  <w:right w:w="108" w:type="dxa"/>
                </w:tblCellMar>
              </w:tblPrEx>
              <w:trPr>
                <w:trHeight w:val="20" w:hRule="atLeast"/>
              </w:trPr>
              <w:tc>
                <w:tcPr>
                  <w:tcW w:w="538" w:type="pct"/>
                  <w:vMerge w:val="continue"/>
                  <w:tcBorders>
                    <w:top w:val="single" w:color="auto" w:sz="4" w:space="0"/>
                    <w:left w:val="single" w:color="auto" w:sz="4" w:space="0"/>
                    <w:bottom w:val="single" w:color="auto" w:sz="4" w:space="0"/>
                    <w:right w:val="nil"/>
                  </w:tcBorders>
                  <w:vAlign w:val="center"/>
                </w:tcPr>
                <w:p>
                  <w:pPr>
                    <w:widowControl/>
                    <w:adjustRightInd/>
                    <w:snapToGrid/>
                    <w:spacing w:line="240" w:lineRule="auto"/>
                    <w:ind w:firstLine="0" w:firstLineChars="0"/>
                    <w:jc w:val="left"/>
                    <w:rPr>
                      <w:kern w:val="0"/>
                      <w:sz w:val="20"/>
                      <w:szCs w:val="20"/>
                    </w:rPr>
                  </w:pP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08:00</w:t>
                  </w:r>
                </w:p>
              </w:tc>
              <w:tc>
                <w:tcPr>
                  <w:tcW w:w="60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kern w:val="0"/>
                      <w:sz w:val="20"/>
                      <w:szCs w:val="20"/>
                    </w:rPr>
                  </w:pP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0.90</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continue"/>
                  <w:tcBorders>
                    <w:left w:val="nil"/>
                    <w:right w:val="single" w:color="000000" w:sz="4" w:space="0"/>
                  </w:tcBorders>
                  <w:vAlign w:val="center"/>
                </w:tcPr>
                <w:p>
                  <w:pPr>
                    <w:widowControl/>
                    <w:adjustRightInd/>
                    <w:snapToGrid/>
                    <w:spacing w:line="240" w:lineRule="auto"/>
                    <w:ind w:firstLine="0" w:firstLineChars="0"/>
                    <w:jc w:val="center"/>
                    <w:rPr>
                      <w:kern w:val="0"/>
                      <w:sz w:val="20"/>
                      <w:szCs w:val="20"/>
                    </w:rPr>
                  </w:pPr>
                </w:p>
              </w:tc>
            </w:tr>
            <w:tr>
              <w:tblPrEx>
                <w:tblCellMar>
                  <w:top w:w="0" w:type="dxa"/>
                  <w:left w:w="108" w:type="dxa"/>
                  <w:bottom w:w="0" w:type="dxa"/>
                  <w:right w:w="108" w:type="dxa"/>
                </w:tblCellMar>
              </w:tblPrEx>
              <w:trPr>
                <w:trHeight w:val="20" w:hRule="atLeast"/>
              </w:trPr>
              <w:tc>
                <w:tcPr>
                  <w:tcW w:w="538" w:type="pct"/>
                  <w:vMerge w:val="continue"/>
                  <w:tcBorders>
                    <w:top w:val="single" w:color="auto" w:sz="4" w:space="0"/>
                    <w:left w:val="single" w:color="auto" w:sz="4" w:space="0"/>
                    <w:bottom w:val="single" w:color="auto" w:sz="4" w:space="0"/>
                    <w:right w:val="nil"/>
                  </w:tcBorders>
                  <w:vAlign w:val="center"/>
                </w:tcPr>
                <w:p>
                  <w:pPr>
                    <w:widowControl/>
                    <w:adjustRightInd/>
                    <w:snapToGrid/>
                    <w:spacing w:line="240" w:lineRule="auto"/>
                    <w:ind w:firstLine="0" w:firstLineChars="0"/>
                    <w:jc w:val="left"/>
                    <w:rPr>
                      <w:kern w:val="0"/>
                      <w:sz w:val="20"/>
                      <w:szCs w:val="20"/>
                    </w:rPr>
                  </w:pP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14:00</w:t>
                  </w:r>
                </w:p>
              </w:tc>
              <w:tc>
                <w:tcPr>
                  <w:tcW w:w="60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kern w:val="0"/>
                      <w:sz w:val="20"/>
                      <w:szCs w:val="20"/>
                    </w:rPr>
                  </w:pP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1.00</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continue"/>
                  <w:tcBorders>
                    <w:left w:val="nil"/>
                    <w:right w:val="single" w:color="000000" w:sz="4" w:space="0"/>
                  </w:tcBorders>
                  <w:vAlign w:val="center"/>
                </w:tcPr>
                <w:p>
                  <w:pPr>
                    <w:widowControl/>
                    <w:adjustRightInd/>
                    <w:snapToGrid/>
                    <w:spacing w:line="240" w:lineRule="auto"/>
                    <w:ind w:firstLine="0" w:firstLineChars="0"/>
                    <w:jc w:val="center"/>
                    <w:rPr>
                      <w:kern w:val="0"/>
                      <w:sz w:val="20"/>
                      <w:szCs w:val="20"/>
                    </w:rPr>
                  </w:pPr>
                </w:p>
              </w:tc>
            </w:tr>
            <w:tr>
              <w:tblPrEx>
                <w:tblCellMar>
                  <w:top w:w="0" w:type="dxa"/>
                  <w:left w:w="108" w:type="dxa"/>
                  <w:bottom w:w="0" w:type="dxa"/>
                  <w:right w:w="108" w:type="dxa"/>
                </w:tblCellMar>
              </w:tblPrEx>
              <w:trPr>
                <w:trHeight w:val="20" w:hRule="atLeast"/>
              </w:trPr>
              <w:tc>
                <w:tcPr>
                  <w:tcW w:w="538" w:type="pct"/>
                  <w:vMerge w:val="continue"/>
                  <w:tcBorders>
                    <w:top w:val="single" w:color="auto" w:sz="4" w:space="0"/>
                    <w:left w:val="single" w:color="auto" w:sz="4" w:space="0"/>
                    <w:bottom w:val="single" w:color="auto" w:sz="4" w:space="0"/>
                    <w:right w:val="nil"/>
                  </w:tcBorders>
                  <w:vAlign w:val="center"/>
                </w:tcPr>
                <w:p>
                  <w:pPr>
                    <w:widowControl/>
                    <w:adjustRightInd/>
                    <w:snapToGrid/>
                    <w:spacing w:line="240" w:lineRule="auto"/>
                    <w:ind w:firstLine="0" w:firstLineChars="0"/>
                    <w:jc w:val="left"/>
                    <w:rPr>
                      <w:kern w:val="0"/>
                      <w:sz w:val="20"/>
                      <w:szCs w:val="20"/>
                    </w:rPr>
                  </w:pP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20:00</w:t>
                  </w:r>
                </w:p>
              </w:tc>
              <w:tc>
                <w:tcPr>
                  <w:tcW w:w="60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kern w:val="0"/>
                      <w:sz w:val="20"/>
                      <w:szCs w:val="20"/>
                    </w:rPr>
                  </w:pP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1.01</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continue"/>
                  <w:tcBorders>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p>
              </w:tc>
            </w:tr>
            <w:tr>
              <w:tblPrEx>
                <w:tblCellMar>
                  <w:top w:w="0" w:type="dxa"/>
                  <w:left w:w="108" w:type="dxa"/>
                  <w:bottom w:w="0" w:type="dxa"/>
                  <w:right w:w="108" w:type="dxa"/>
                </w:tblCellMar>
              </w:tblPrEx>
              <w:trPr>
                <w:trHeight w:val="20" w:hRule="atLeast"/>
              </w:trPr>
              <w:tc>
                <w:tcPr>
                  <w:tcW w:w="538" w:type="pct"/>
                  <w:vMerge w:val="restart"/>
                  <w:tcBorders>
                    <w:top w:val="nil"/>
                    <w:left w:val="single" w:color="auto" w:sz="4" w:space="0"/>
                    <w:bottom w:val="single" w:color="auto" w:sz="4" w:space="0"/>
                    <w:right w:val="nil"/>
                  </w:tcBorders>
                  <w:shd w:val="clear" w:color="000000" w:fill="FFFFFF"/>
                  <w:vAlign w:val="center"/>
                </w:tcPr>
                <w:p>
                  <w:pPr>
                    <w:widowControl/>
                    <w:adjustRightInd/>
                    <w:snapToGrid/>
                    <w:spacing w:line="240" w:lineRule="auto"/>
                    <w:ind w:firstLine="0" w:firstLineChars="0"/>
                    <w:jc w:val="center"/>
                    <w:rPr>
                      <w:kern w:val="0"/>
                      <w:sz w:val="20"/>
                      <w:szCs w:val="20"/>
                    </w:rPr>
                  </w:pPr>
                  <w:r>
                    <w:rPr>
                      <w:kern w:val="0"/>
                      <w:sz w:val="20"/>
                      <w:szCs w:val="20"/>
                    </w:rPr>
                    <w:t>2022-06-19</w:t>
                  </w: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02:00</w:t>
                  </w:r>
                </w:p>
              </w:tc>
              <w:tc>
                <w:tcPr>
                  <w:tcW w:w="600" w:type="pct"/>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0.512</w:t>
                  </w: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0.88</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restart"/>
                  <w:tcBorders>
                    <w:top w:val="nil"/>
                    <w:left w:val="nil"/>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r>
            <w:tr>
              <w:tblPrEx>
                <w:tblCellMar>
                  <w:top w:w="0" w:type="dxa"/>
                  <w:left w:w="108" w:type="dxa"/>
                  <w:bottom w:w="0" w:type="dxa"/>
                  <w:right w:w="108" w:type="dxa"/>
                </w:tblCellMar>
              </w:tblPrEx>
              <w:trPr>
                <w:trHeight w:val="20" w:hRule="atLeast"/>
              </w:trPr>
              <w:tc>
                <w:tcPr>
                  <w:tcW w:w="538" w:type="pct"/>
                  <w:vMerge w:val="continue"/>
                  <w:tcBorders>
                    <w:top w:val="nil"/>
                    <w:left w:val="single" w:color="auto" w:sz="4" w:space="0"/>
                    <w:bottom w:val="single" w:color="auto" w:sz="4" w:space="0"/>
                    <w:right w:val="nil"/>
                  </w:tcBorders>
                  <w:vAlign w:val="center"/>
                </w:tcPr>
                <w:p>
                  <w:pPr>
                    <w:widowControl/>
                    <w:adjustRightInd/>
                    <w:snapToGrid/>
                    <w:spacing w:line="240" w:lineRule="auto"/>
                    <w:ind w:firstLine="0" w:firstLineChars="0"/>
                    <w:jc w:val="left"/>
                    <w:rPr>
                      <w:kern w:val="0"/>
                      <w:sz w:val="20"/>
                      <w:szCs w:val="20"/>
                    </w:rPr>
                  </w:pP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08:00</w:t>
                  </w:r>
                </w:p>
              </w:tc>
              <w:tc>
                <w:tcPr>
                  <w:tcW w:w="600"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kern w:val="0"/>
                      <w:sz w:val="20"/>
                      <w:szCs w:val="20"/>
                    </w:rPr>
                  </w:pP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1.22</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continue"/>
                  <w:tcBorders>
                    <w:left w:val="nil"/>
                    <w:right w:val="single" w:color="000000" w:sz="4" w:space="0"/>
                  </w:tcBorders>
                  <w:vAlign w:val="center"/>
                </w:tcPr>
                <w:p>
                  <w:pPr>
                    <w:widowControl/>
                    <w:adjustRightInd/>
                    <w:snapToGrid/>
                    <w:spacing w:line="240" w:lineRule="auto"/>
                    <w:ind w:firstLine="0" w:firstLineChars="0"/>
                    <w:jc w:val="center"/>
                    <w:rPr>
                      <w:kern w:val="0"/>
                      <w:sz w:val="20"/>
                      <w:szCs w:val="20"/>
                    </w:rPr>
                  </w:pPr>
                </w:p>
              </w:tc>
            </w:tr>
            <w:tr>
              <w:tblPrEx>
                <w:tblCellMar>
                  <w:top w:w="0" w:type="dxa"/>
                  <w:left w:w="108" w:type="dxa"/>
                  <w:bottom w:w="0" w:type="dxa"/>
                  <w:right w:w="108" w:type="dxa"/>
                </w:tblCellMar>
              </w:tblPrEx>
              <w:trPr>
                <w:trHeight w:val="20" w:hRule="atLeast"/>
              </w:trPr>
              <w:tc>
                <w:tcPr>
                  <w:tcW w:w="538" w:type="pct"/>
                  <w:vMerge w:val="continue"/>
                  <w:tcBorders>
                    <w:top w:val="nil"/>
                    <w:left w:val="single" w:color="auto" w:sz="4" w:space="0"/>
                    <w:bottom w:val="single" w:color="auto" w:sz="4" w:space="0"/>
                    <w:right w:val="nil"/>
                  </w:tcBorders>
                  <w:vAlign w:val="center"/>
                </w:tcPr>
                <w:p>
                  <w:pPr>
                    <w:widowControl/>
                    <w:adjustRightInd/>
                    <w:snapToGrid/>
                    <w:spacing w:line="240" w:lineRule="auto"/>
                    <w:ind w:firstLine="0" w:firstLineChars="0"/>
                    <w:jc w:val="left"/>
                    <w:rPr>
                      <w:kern w:val="0"/>
                      <w:sz w:val="20"/>
                      <w:szCs w:val="20"/>
                    </w:rPr>
                  </w:pP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14:00</w:t>
                  </w:r>
                </w:p>
              </w:tc>
              <w:tc>
                <w:tcPr>
                  <w:tcW w:w="600"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kern w:val="0"/>
                      <w:sz w:val="20"/>
                      <w:szCs w:val="20"/>
                    </w:rPr>
                  </w:pP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1.08</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continue"/>
                  <w:tcBorders>
                    <w:left w:val="nil"/>
                    <w:right w:val="single" w:color="000000" w:sz="4" w:space="0"/>
                  </w:tcBorders>
                  <w:vAlign w:val="center"/>
                </w:tcPr>
                <w:p>
                  <w:pPr>
                    <w:widowControl/>
                    <w:adjustRightInd/>
                    <w:snapToGrid/>
                    <w:spacing w:line="240" w:lineRule="auto"/>
                    <w:ind w:firstLine="0" w:firstLineChars="0"/>
                    <w:jc w:val="center"/>
                    <w:rPr>
                      <w:kern w:val="0"/>
                      <w:sz w:val="20"/>
                      <w:szCs w:val="20"/>
                    </w:rPr>
                  </w:pPr>
                </w:p>
              </w:tc>
            </w:tr>
            <w:tr>
              <w:tblPrEx>
                <w:tblCellMar>
                  <w:top w:w="0" w:type="dxa"/>
                  <w:left w:w="108" w:type="dxa"/>
                  <w:bottom w:w="0" w:type="dxa"/>
                  <w:right w:w="108" w:type="dxa"/>
                </w:tblCellMar>
              </w:tblPrEx>
              <w:trPr>
                <w:trHeight w:val="20" w:hRule="atLeast"/>
              </w:trPr>
              <w:tc>
                <w:tcPr>
                  <w:tcW w:w="538" w:type="pct"/>
                  <w:vMerge w:val="continue"/>
                  <w:tcBorders>
                    <w:top w:val="nil"/>
                    <w:left w:val="single" w:color="auto" w:sz="4" w:space="0"/>
                    <w:bottom w:val="single" w:color="auto" w:sz="4" w:space="0"/>
                    <w:right w:val="nil"/>
                  </w:tcBorders>
                  <w:vAlign w:val="center"/>
                </w:tcPr>
                <w:p>
                  <w:pPr>
                    <w:widowControl/>
                    <w:adjustRightInd/>
                    <w:snapToGrid/>
                    <w:spacing w:line="240" w:lineRule="auto"/>
                    <w:ind w:firstLine="0" w:firstLineChars="0"/>
                    <w:jc w:val="left"/>
                    <w:rPr>
                      <w:kern w:val="0"/>
                      <w:sz w:val="20"/>
                      <w:szCs w:val="20"/>
                    </w:rPr>
                  </w:pP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20:00</w:t>
                  </w:r>
                </w:p>
              </w:tc>
              <w:tc>
                <w:tcPr>
                  <w:tcW w:w="600"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kern w:val="0"/>
                      <w:sz w:val="20"/>
                      <w:szCs w:val="20"/>
                    </w:rPr>
                  </w:pP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0.98</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continue"/>
                  <w:tcBorders>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p>
              </w:tc>
            </w:tr>
            <w:tr>
              <w:tblPrEx>
                <w:tblCellMar>
                  <w:top w:w="0" w:type="dxa"/>
                  <w:left w:w="108" w:type="dxa"/>
                  <w:bottom w:w="0" w:type="dxa"/>
                  <w:right w:w="108" w:type="dxa"/>
                </w:tblCellMar>
              </w:tblPrEx>
              <w:trPr>
                <w:trHeight w:val="20" w:hRule="atLeast"/>
              </w:trPr>
              <w:tc>
                <w:tcPr>
                  <w:tcW w:w="538" w:type="pct"/>
                  <w:vMerge w:val="restart"/>
                  <w:tcBorders>
                    <w:top w:val="nil"/>
                    <w:left w:val="single" w:color="auto" w:sz="4" w:space="0"/>
                    <w:bottom w:val="single" w:color="auto" w:sz="4" w:space="0"/>
                    <w:right w:val="nil"/>
                  </w:tcBorders>
                  <w:shd w:val="clear" w:color="000000" w:fill="FFFFFF"/>
                  <w:vAlign w:val="center"/>
                </w:tcPr>
                <w:p>
                  <w:pPr>
                    <w:widowControl/>
                    <w:adjustRightInd/>
                    <w:snapToGrid/>
                    <w:spacing w:line="240" w:lineRule="auto"/>
                    <w:ind w:firstLine="0" w:firstLineChars="0"/>
                    <w:jc w:val="center"/>
                    <w:rPr>
                      <w:kern w:val="0"/>
                      <w:sz w:val="20"/>
                      <w:szCs w:val="20"/>
                    </w:rPr>
                  </w:pPr>
                  <w:r>
                    <w:rPr>
                      <w:kern w:val="0"/>
                      <w:sz w:val="20"/>
                      <w:szCs w:val="20"/>
                    </w:rPr>
                    <w:t>2022-06-20</w:t>
                  </w: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02:00</w:t>
                  </w:r>
                </w:p>
              </w:tc>
              <w:tc>
                <w:tcPr>
                  <w:tcW w:w="600" w:type="pct"/>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0.4316</w:t>
                  </w: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1.05</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restart"/>
                  <w:tcBorders>
                    <w:top w:val="nil"/>
                    <w:left w:val="nil"/>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r>
            <w:tr>
              <w:tblPrEx>
                <w:tblCellMar>
                  <w:top w:w="0" w:type="dxa"/>
                  <w:left w:w="108" w:type="dxa"/>
                  <w:bottom w:w="0" w:type="dxa"/>
                  <w:right w:w="108" w:type="dxa"/>
                </w:tblCellMar>
              </w:tblPrEx>
              <w:trPr>
                <w:trHeight w:val="20" w:hRule="atLeast"/>
              </w:trPr>
              <w:tc>
                <w:tcPr>
                  <w:tcW w:w="538" w:type="pct"/>
                  <w:vMerge w:val="continue"/>
                  <w:tcBorders>
                    <w:top w:val="nil"/>
                    <w:left w:val="single" w:color="auto" w:sz="4" w:space="0"/>
                    <w:bottom w:val="single" w:color="auto" w:sz="4" w:space="0"/>
                    <w:right w:val="nil"/>
                  </w:tcBorders>
                  <w:vAlign w:val="center"/>
                </w:tcPr>
                <w:p>
                  <w:pPr>
                    <w:widowControl/>
                    <w:adjustRightInd/>
                    <w:snapToGrid/>
                    <w:spacing w:line="240" w:lineRule="auto"/>
                    <w:ind w:firstLine="0" w:firstLineChars="0"/>
                    <w:jc w:val="left"/>
                    <w:rPr>
                      <w:kern w:val="0"/>
                      <w:sz w:val="20"/>
                      <w:szCs w:val="20"/>
                    </w:rPr>
                  </w:pP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08:00</w:t>
                  </w:r>
                </w:p>
              </w:tc>
              <w:tc>
                <w:tcPr>
                  <w:tcW w:w="600"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kern w:val="0"/>
                      <w:sz w:val="20"/>
                      <w:szCs w:val="20"/>
                    </w:rPr>
                  </w:pP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0.94</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continue"/>
                  <w:tcBorders>
                    <w:left w:val="nil"/>
                    <w:right w:val="single" w:color="000000" w:sz="4" w:space="0"/>
                  </w:tcBorders>
                  <w:vAlign w:val="center"/>
                </w:tcPr>
                <w:p>
                  <w:pPr>
                    <w:widowControl/>
                    <w:adjustRightInd/>
                    <w:snapToGrid/>
                    <w:spacing w:line="240" w:lineRule="auto"/>
                    <w:ind w:firstLine="0" w:firstLineChars="0"/>
                    <w:jc w:val="center"/>
                    <w:rPr>
                      <w:kern w:val="0"/>
                      <w:sz w:val="20"/>
                      <w:szCs w:val="20"/>
                    </w:rPr>
                  </w:pPr>
                </w:p>
              </w:tc>
            </w:tr>
            <w:tr>
              <w:tblPrEx>
                <w:tblCellMar>
                  <w:top w:w="0" w:type="dxa"/>
                  <w:left w:w="108" w:type="dxa"/>
                  <w:bottom w:w="0" w:type="dxa"/>
                  <w:right w:w="108" w:type="dxa"/>
                </w:tblCellMar>
              </w:tblPrEx>
              <w:trPr>
                <w:trHeight w:val="20" w:hRule="atLeast"/>
              </w:trPr>
              <w:tc>
                <w:tcPr>
                  <w:tcW w:w="538" w:type="pct"/>
                  <w:vMerge w:val="continue"/>
                  <w:tcBorders>
                    <w:top w:val="nil"/>
                    <w:left w:val="single" w:color="auto" w:sz="4" w:space="0"/>
                    <w:bottom w:val="single" w:color="auto" w:sz="4" w:space="0"/>
                    <w:right w:val="nil"/>
                  </w:tcBorders>
                  <w:vAlign w:val="center"/>
                </w:tcPr>
                <w:p>
                  <w:pPr>
                    <w:widowControl/>
                    <w:adjustRightInd/>
                    <w:snapToGrid/>
                    <w:spacing w:line="240" w:lineRule="auto"/>
                    <w:ind w:firstLine="0" w:firstLineChars="0"/>
                    <w:jc w:val="left"/>
                    <w:rPr>
                      <w:kern w:val="0"/>
                      <w:sz w:val="20"/>
                      <w:szCs w:val="20"/>
                    </w:rPr>
                  </w:pP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14:00</w:t>
                  </w:r>
                </w:p>
              </w:tc>
              <w:tc>
                <w:tcPr>
                  <w:tcW w:w="600"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kern w:val="0"/>
                      <w:sz w:val="20"/>
                      <w:szCs w:val="20"/>
                    </w:rPr>
                  </w:pP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1.02</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continue"/>
                  <w:tcBorders>
                    <w:left w:val="nil"/>
                    <w:right w:val="single" w:color="000000" w:sz="4" w:space="0"/>
                  </w:tcBorders>
                  <w:vAlign w:val="center"/>
                </w:tcPr>
                <w:p>
                  <w:pPr>
                    <w:widowControl/>
                    <w:adjustRightInd/>
                    <w:snapToGrid/>
                    <w:spacing w:line="240" w:lineRule="auto"/>
                    <w:ind w:firstLine="0" w:firstLineChars="0"/>
                    <w:jc w:val="center"/>
                    <w:rPr>
                      <w:kern w:val="0"/>
                      <w:sz w:val="20"/>
                      <w:szCs w:val="20"/>
                    </w:rPr>
                  </w:pPr>
                </w:p>
              </w:tc>
            </w:tr>
            <w:tr>
              <w:tblPrEx>
                <w:tblCellMar>
                  <w:top w:w="0" w:type="dxa"/>
                  <w:left w:w="108" w:type="dxa"/>
                  <w:bottom w:w="0" w:type="dxa"/>
                  <w:right w:w="108" w:type="dxa"/>
                </w:tblCellMar>
              </w:tblPrEx>
              <w:trPr>
                <w:trHeight w:val="20" w:hRule="atLeast"/>
              </w:trPr>
              <w:tc>
                <w:tcPr>
                  <w:tcW w:w="538" w:type="pct"/>
                  <w:vMerge w:val="continue"/>
                  <w:tcBorders>
                    <w:top w:val="nil"/>
                    <w:left w:val="single" w:color="auto" w:sz="4" w:space="0"/>
                    <w:bottom w:val="single" w:color="auto" w:sz="4" w:space="0"/>
                    <w:right w:val="nil"/>
                  </w:tcBorders>
                  <w:vAlign w:val="center"/>
                </w:tcPr>
                <w:p>
                  <w:pPr>
                    <w:widowControl/>
                    <w:adjustRightInd/>
                    <w:snapToGrid/>
                    <w:spacing w:line="240" w:lineRule="auto"/>
                    <w:ind w:firstLine="0" w:firstLineChars="0"/>
                    <w:jc w:val="left"/>
                    <w:rPr>
                      <w:kern w:val="0"/>
                      <w:sz w:val="20"/>
                      <w:szCs w:val="20"/>
                    </w:rPr>
                  </w:pPr>
                </w:p>
              </w:tc>
              <w:tc>
                <w:tcPr>
                  <w:tcW w:w="52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kern w:val="0"/>
                      <w:sz w:val="20"/>
                      <w:szCs w:val="20"/>
                    </w:rPr>
                  </w:pPr>
                  <w:r>
                    <w:rPr>
                      <w:kern w:val="0"/>
                      <w:sz w:val="20"/>
                      <w:szCs w:val="20"/>
                    </w:rPr>
                    <w:t>20:00</w:t>
                  </w:r>
                </w:p>
              </w:tc>
              <w:tc>
                <w:tcPr>
                  <w:tcW w:w="600"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kern w:val="0"/>
                      <w:sz w:val="20"/>
                      <w:szCs w:val="20"/>
                    </w:rPr>
                  </w:pPr>
                </w:p>
              </w:tc>
              <w:tc>
                <w:tcPr>
                  <w:tcW w:w="951"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1.02</w:t>
                  </w:r>
                </w:p>
              </w:tc>
              <w:tc>
                <w:tcPr>
                  <w:tcW w:w="79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kern w:val="0"/>
                      <w:sz w:val="20"/>
                      <w:szCs w:val="20"/>
                    </w:rPr>
                  </w:pPr>
                  <w:r>
                    <w:rPr>
                      <w:kern w:val="0"/>
                      <w:sz w:val="20"/>
                      <w:szCs w:val="20"/>
                    </w:rPr>
                    <w:t>&lt;10</w:t>
                  </w:r>
                </w:p>
              </w:tc>
              <w:tc>
                <w:tcPr>
                  <w:tcW w:w="795" w:type="pct"/>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r>
                    <w:rPr>
                      <w:kern w:val="0"/>
                      <w:sz w:val="20"/>
                      <w:szCs w:val="20"/>
                    </w:rPr>
                    <w:t>0.02L</w:t>
                  </w:r>
                </w:p>
              </w:tc>
              <w:tc>
                <w:tcPr>
                  <w:tcW w:w="793" w:type="pct"/>
                  <w:vMerge w:val="continue"/>
                  <w:tcBorders>
                    <w:left w:val="nil"/>
                    <w:bottom w:val="single" w:color="000000" w:sz="4" w:space="0"/>
                    <w:right w:val="single" w:color="000000" w:sz="4" w:space="0"/>
                  </w:tcBorders>
                  <w:vAlign w:val="center"/>
                </w:tcPr>
                <w:p>
                  <w:pPr>
                    <w:widowControl/>
                    <w:adjustRightInd/>
                    <w:snapToGrid/>
                    <w:spacing w:line="240" w:lineRule="auto"/>
                    <w:ind w:firstLine="0" w:firstLineChars="0"/>
                    <w:jc w:val="center"/>
                    <w:rPr>
                      <w:kern w:val="0"/>
                      <w:sz w:val="20"/>
                      <w:szCs w:val="20"/>
                    </w:rPr>
                  </w:pPr>
                </w:p>
              </w:tc>
            </w:tr>
          </w:tbl>
          <w:p>
            <w:pPr>
              <w:pStyle w:val="56"/>
              <w:rPr>
                <w:lang w:val="en-US" w:eastAsia="zh-CN"/>
              </w:rPr>
            </w:pPr>
          </w:p>
          <w:p>
            <w:pPr>
              <w:ind w:firstLine="480"/>
            </w:pPr>
            <w:r>
              <w:rPr>
                <w:rFonts w:hint="eastAsia"/>
              </w:rPr>
              <w:t>项目特征因子“</w:t>
            </w:r>
            <w:r>
              <w:rPr>
                <w:kern w:val="0"/>
                <w:szCs w:val="24"/>
                <w:lang w:bidi="ar"/>
              </w:rPr>
              <w:t>氨、硫化氢</w:t>
            </w:r>
            <w:r>
              <w:rPr>
                <w:rFonts w:hint="eastAsia"/>
              </w:rPr>
              <w:t>”现状评价引用广东众惠环境检测有限公司于2</w:t>
            </w:r>
            <w:r>
              <w:t>021</w:t>
            </w:r>
            <w:r>
              <w:rPr>
                <w:rFonts w:hint="eastAsia"/>
              </w:rPr>
              <w:t>年1月2</w:t>
            </w:r>
            <w:r>
              <w:t>1</w:t>
            </w:r>
            <w:r>
              <w:rPr>
                <w:rFonts w:hint="eastAsia"/>
              </w:rPr>
              <w:t>日~</w:t>
            </w:r>
            <w:r>
              <w:t>2021</w:t>
            </w:r>
            <w:r>
              <w:rPr>
                <w:rFonts w:hint="eastAsia"/>
              </w:rPr>
              <w:t>年1月2</w:t>
            </w:r>
            <w:r>
              <w:t>3</w:t>
            </w:r>
            <w:r>
              <w:rPr>
                <w:rFonts w:hint="eastAsia"/>
              </w:rPr>
              <w:t>日在刘屋村的的监测（(众惠检测)检字第ZH20210219001号）。引用监测点数据见下表，引用监测报告见附件6。</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rPr>
                <w:rFonts w:hint="eastAsia"/>
              </w:rPr>
              <w:t>引用监测数据点位信息</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767"/>
              <w:gridCol w:w="639"/>
              <w:gridCol w:w="1273"/>
              <w:gridCol w:w="1505"/>
              <w:gridCol w:w="1041"/>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pct"/>
                  <w:vAlign w:val="center"/>
                </w:tcPr>
                <w:p>
                  <w:pPr>
                    <w:pStyle w:val="56"/>
                  </w:pPr>
                  <w:r>
                    <w:t>监测点位名称</w:t>
                  </w:r>
                </w:p>
              </w:tc>
              <w:tc>
                <w:tcPr>
                  <w:tcW w:w="920" w:type="pct"/>
                  <w:gridSpan w:val="2"/>
                  <w:vAlign w:val="center"/>
                </w:tcPr>
                <w:p>
                  <w:pPr>
                    <w:pStyle w:val="56"/>
                  </w:pPr>
                  <w:r>
                    <w:t>相对厂址监测点坐标</w:t>
                  </w:r>
                </w:p>
              </w:tc>
              <w:tc>
                <w:tcPr>
                  <w:tcW w:w="833" w:type="pct"/>
                  <w:vAlign w:val="center"/>
                </w:tcPr>
                <w:p>
                  <w:pPr>
                    <w:pStyle w:val="56"/>
                  </w:pPr>
                  <w:r>
                    <w:t>监测因子</w:t>
                  </w:r>
                </w:p>
              </w:tc>
              <w:tc>
                <w:tcPr>
                  <w:tcW w:w="985" w:type="pct"/>
                  <w:vAlign w:val="center"/>
                </w:tcPr>
                <w:p>
                  <w:pPr>
                    <w:pStyle w:val="56"/>
                    <w:rPr>
                      <w:lang w:eastAsia="zh-CN"/>
                    </w:rPr>
                  </w:pPr>
                  <w:r>
                    <w:rPr>
                      <w:rFonts w:hint="eastAsia"/>
                      <w:lang w:eastAsia="zh-CN"/>
                    </w:rPr>
                    <w:t>取值时间</w:t>
                  </w:r>
                </w:p>
              </w:tc>
              <w:tc>
                <w:tcPr>
                  <w:tcW w:w="681" w:type="pct"/>
                  <w:vAlign w:val="center"/>
                </w:tcPr>
                <w:p>
                  <w:pPr>
                    <w:pStyle w:val="56"/>
                  </w:pPr>
                  <w:r>
                    <w:t>相对项目方向</w:t>
                  </w:r>
                </w:p>
              </w:tc>
              <w:tc>
                <w:tcPr>
                  <w:tcW w:w="836" w:type="pct"/>
                  <w:vAlign w:val="center"/>
                </w:tcPr>
                <w:p>
                  <w:pPr>
                    <w:pStyle w:val="56"/>
                  </w:pPr>
                  <w:r>
                    <w:t>相对项设施距离/m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5" w:type="pct"/>
                  <w:vMerge w:val="restart"/>
                  <w:vAlign w:val="center"/>
                </w:tcPr>
                <w:p>
                  <w:pPr>
                    <w:pStyle w:val="56"/>
                    <w:rPr>
                      <w:lang w:val="en-US" w:eastAsia="zh-CN"/>
                    </w:rPr>
                  </w:pPr>
                  <w:r>
                    <w:rPr>
                      <w:rFonts w:hint="eastAsia"/>
                      <w:lang w:val="en-US" w:eastAsia="zh-CN"/>
                    </w:rPr>
                    <w:t>刘屋村</w:t>
                  </w:r>
                </w:p>
              </w:tc>
              <w:tc>
                <w:tcPr>
                  <w:tcW w:w="502" w:type="pct"/>
                  <w:vMerge w:val="restart"/>
                  <w:vAlign w:val="center"/>
                </w:tcPr>
                <w:p>
                  <w:pPr>
                    <w:pStyle w:val="56"/>
                    <w:rPr>
                      <w:lang w:val="en-US" w:eastAsia="zh-CN"/>
                    </w:rPr>
                  </w:pPr>
                  <w:r>
                    <w:rPr>
                      <w:rFonts w:hint="eastAsia"/>
                      <w:lang w:val="en-US" w:eastAsia="zh-CN"/>
                    </w:rPr>
                    <w:t>-</w:t>
                  </w:r>
                  <w:r>
                    <w:rPr>
                      <w:lang w:val="en-US" w:eastAsia="zh-CN"/>
                    </w:rPr>
                    <w:t>2284</w:t>
                  </w:r>
                </w:p>
              </w:tc>
              <w:tc>
                <w:tcPr>
                  <w:tcW w:w="418" w:type="pct"/>
                  <w:vMerge w:val="restart"/>
                  <w:vAlign w:val="center"/>
                </w:tcPr>
                <w:p>
                  <w:pPr>
                    <w:pStyle w:val="56"/>
                    <w:rPr>
                      <w:lang w:val="en-US" w:eastAsia="zh-CN"/>
                    </w:rPr>
                  </w:pPr>
                  <w:r>
                    <w:rPr>
                      <w:rFonts w:hint="eastAsia"/>
                      <w:lang w:val="en-US" w:eastAsia="zh-CN"/>
                    </w:rPr>
                    <w:t>-</w:t>
                  </w:r>
                  <w:r>
                    <w:rPr>
                      <w:lang w:val="en-US" w:eastAsia="zh-CN"/>
                    </w:rPr>
                    <w:t>995</w:t>
                  </w:r>
                </w:p>
              </w:tc>
              <w:tc>
                <w:tcPr>
                  <w:tcW w:w="833" w:type="pct"/>
                  <w:vAlign w:val="center"/>
                </w:tcPr>
                <w:p>
                  <w:pPr>
                    <w:pStyle w:val="56"/>
                    <w:rPr>
                      <w:lang w:val="en-US" w:eastAsia="zh-CN"/>
                    </w:rPr>
                  </w:pPr>
                  <w:r>
                    <w:rPr>
                      <w:rFonts w:hint="eastAsia"/>
                      <w:lang w:val="en-US" w:eastAsia="zh-CN"/>
                    </w:rPr>
                    <w:t>氨</w:t>
                  </w:r>
                </w:p>
              </w:tc>
              <w:tc>
                <w:tcPr>
                  <w:tcW w:w="985" w:type="pct"/>
                  <w:vAlign w:val="center"/>
                </w:tcPr>
                <w:p>
                  <w:pPr>
                    <w:pStyle w:val="56"/>
                    <w:rPr>
                      <w:lang w:eastAsia="zh-CN"/>
                    </w:rPr>
                  </w:pPr>
                  <w:r>
                    <w:rPr>
                      <w:rFonts w:hint="eastAsia"/>
                      <w:lang w:eastAsia="zh-CN"/>
                    </w:rPr>
                    <w:t>1小时平均值</w:t>
                  </w:r>
                </w:p>
              </w:tc>
              <w:tc>
                <w:tcPr>
                  <w:tcW w:w="681" w:type="pct"/>
                  <w:vMerge w:val="restart"/>
                  <w:vAlign w:val="center"/>
                </w:tcPr>
                <w:p>
                  <w:pPr>
                    <w:pStyle w:val="56"/>
                  </w:pPr>
                  <w:r>
                    <w:rPr>
                      <w:rFonts w:hint="eastAsia"/>
                      <w:lang w:eastAsia="zh-CN"/>
                    </w:rPr>
                    <w:t>西南</w:t>
                  </w:r>
                </w:p>
              </w:tc>
              <w:tc>
                <w:tcPr>
                  <w:tcW w:w="836" w:type="pct"/>
                  <w:vMerge w:val="restart"/>
                  <w:vAlign w:val="center"/>
                </w:tcPr>
                <w:p>
                  <w:pPr>
                    <w:pStyle w:val="56"/>
                    <w:rPr>
                      <w:lang w:val="en-US" w:eastAsia="zh-CN"/>
                    </w:rPr>
                  </w:pPr>
                  <w:r>
                    <w:rPr>
                      <w:lang w:val="en-US" w:eastAsia="zh-CN"/>
                    </w:rPr>
                    <w:t>2503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5" w:type="pct"/>
                  <w:vMerge w:val="continue"/>
                  <w:vAlign w:val="center"/>
                </w:tcPr>
                <w:p>
                  <w:pPr>
                    <w:pStyle w:val="56"/>
                    <w:rPr>
                      <w:lang w:val="en-US" w:eastAsia="zh-CN"/>
                    </w:rPr>
                  </w:pPr>
                </w:p>
              </w:tc>
              <w:tc>
                <w:tcPr>
                  <w:tcW w:w="502" w:type="pct"/>
                  <w:vMerge w:val="continue"/>
                  <w:vAlign w:val="center"/>
                </w:tcPr>
                <w:p>
                  <w:pPr>
                    <w:pStyle w:val="56"/>
                    <w:rPr>
                      <w:lang w:val="en-US" w:eastAsia="zh-CN"/>
                    </w:rPr>
                  </w:pPr>
                </w:p>
              </w:tc>
              <w:tc>
                <w:tcPr>
                  <w:tcW w:w="418" w:type="pct"/>
                  <w:vMerge w:val="continue"/>
                  <w:vAlign w:val="center"/>
                </w:tcPr>
                <w:p>
                  <w:pPr>
                    <w:pStyle w:val="56"/>
                    <w:rPr>
                      <w:lang w:val="en-US" w:eastAsia="zh-CN"/>
                    </w:rPr>
                  </w:pPr>
                </w:p>
              </w:tc>
              <w:tc>
                <w:tcPr>
                  <w:tcW w:w="833" w:type="pct"/>
                  <w:vAlign w:val="center"/>
                </w:tcPr>
                <w:p>
                  <w:pPr>
                    <w:pStyle w:val="56"/>
                    <w:rPr>
                      <w:lang w:val="en-US" w:eastAsia="zh-CN"/>
                    </w:rPr>
                  </w:pPr>
                  <w:r>
                    <w:rPr>
                      <w:rFonts w:hint="eastAsia"/>
                      <w:lang w:val="en-US" w:eastAsia="zh-CN"/>
                    </w:rPr>
                    <w:t>硫化氢</w:t>
                  </w:r>
                </w:p>
              </w:tc>
              <w:tc>
                <w:tcPr>
                  <w:tcW w:w="985" w:type="pct"/>
                  <w:vAlign w:val="center"/>
                </w:tcPr>
                <w:p>
                  <w:pPr>
                    <w:pStyle w:val="56"/>
                    <w:rPr>
                      <w:lang w:eastAsia="zh-CN"/>
                    </w:rPr>
                  </w:pPr>
                  <w:r>
                    <w:rPr>
                      <w:rFonts w:hint="eastAsia"/>
                      <w:lang w:eastAsia="zh-CN"/>
                    </w:rPr>
                    <w:t>1小时平均值</w:t>
                  </w:r>
                </w:p>
              </w:tc>
              <w:tc>
                <w:tcPr>
                  <w:tcW w:w="681" w:type="pct"/>
                  <w:vMerge w:val="continue"/>
                  <w:vAlign w:val="center"/>
                </w:tcPr>
                <w:p>
                  <w:pPr>
                    <w:pStyle w:val="56"/>
                    <w:rPr>
                      <w:lang w:eastAsia="zh-CN"/>
                    </w:rPr>
                  </w:pPr>
                </w:p>
              </w:tc>
              <w:tc>
                <w:tcPr>
                  <w:tcW w:w="836" w:type="pct"/>
                  <w:vMerge w:val="continue"/>
                  <w:vAlign w:val="center"/>
                </w:tcPr>
                <w:p>
                  <w:pPr>
                    <w:pStyle w:val="56"/>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7"/>
                  <w:vAlign w:val="center"/>
                </w:tcPr>
                <w:p>
                  <w:pPr>
                    <w:pStyle w:val="56"/>
                    <w:wordWrap w:val="0"/>
                    <w:jc w:val="both"/>
                    <w:rPr>
                      <w:lang w:val="en-US" w:eastAsia="zh-CN"/>
                    </w:rPr>
                  </w:pPr>
                  <w:r>
                    <w:rPr>
                      <w:rFonts w:hint="eastAsia"/>
                      <w:lang w:val="en-US" w:eastAsia="zh-CN"/>
                    </w:rPr>
                    <w:t>注：以项目中心作为相对坐标原点（E</w:t>
                  </w:r>
                  <w:r>
                    <w:rPr>
                      <w:lang w:val="en-US" w:eastAsia="zh-CN"/>
                    </w:rPr>
                    <w:t>110°57′47.52445″,</w:t>
                  </w:r>
                  <w:r>
                    <w:rPr>
                      <w:rFonts w:hint="eastAsia"/>
                      <w:lang w:val="en-US" w:eastAsia="zh-CN"/>
                    </w:rPr>
                    <w:t>N</w:t>
                  </w:r>
                  <w:r>
                    <w:rPr>
                      <w:lang w:val="en-US" w:eastAsia="zh-CN"/>
                    </w:rPr>
                    <w:t>21°35′27.14523″</w:t>
                  </w:r>
                  <w:r>
                    <w:rPr>
                      <w:rFonts w:hint="eastAsia"/>
                      <w:lang w:val="en-US" w:eastAsia="zh-CN"/>
                    </w:rPr>
                    <w:t>）</w:t>
                  </w:r>
                  <w:r>
                    <w:rPr>
                      <w:rFonts w:hint="eastAsia"/>
                    </w:rPr>
                    <w:t>，正东向为X轴正向，正北向为Y轴正向；相对厂界距离取距离厂址最近点位置</w:t>
                  </w:r>
                </w:p>
              </w:tc>
            </w:tr>
          </w:tbl>
          <w:p>
            <w:pPr>
              <w:pStyle w:val="56"/>
            </w:pPr>
          </w:p>
          <w:p>
            <w:pPr>
              <w:pStyle w:val="56"/>
              <w:keepNext/>
            </w:pPr>
            <w:r>
              <w:drawing>
                <wp:inline distT="0" distB="0" distL="0" distR="0">
                  <wp:extent cx="4647565" cy="2868295"/>
                  <wp:effectExtent l="0" t="0" r="63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cstate="email"/>
                          <a:stretch>
                            <a:fillRect/>
                          </a:stretch>
                        </pic:blipFill>
                        <pic:spPr>
                          <a:xfrm>
                            <a:off x="0" y="0"/>
                            <a:ext cx="4647565" cy="2868295"/>
                          </a:xfrm>
                          <a:prstGeom prst="rect">
                            <a:avLst/>
                          </a:prstGeom>
                        </pic:spPr>
                      </pic:pic>
                    </a:graphicData>
                  </a:graphic>
                </wp:inline>
              </w:drawing>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大气环境质量现状监测点位</w:t>
            </w:r>
            <w:r>
              <w:rPr>
                <w:rFonts w:hint="eastAsia"/>
                <w:lang w:eastAsia="zh-CN"/>
              </w:rPr>
              <w:t>（刘屋村）</w:t>
            </w:r>
          </w:p>
          <w:p>
            <w:pPr>
              <w:ind w:firstLine="480"/>
            </w:pPr>
            <w:r>
              <w:rPr>
                <w:rFonts w:hint="eastAsia"/>
              </w:rPr>
              <w:t>引用监测数据见下表。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rPr>
                <w:rFonts w:hint="eastAsia"/>
              </w:rPr>
              <w:t>其他污染物质量现状监测结果（刘屋村</w:t>
            </w:r>
            <w:r>
              <w:rPr>
                <w:rFonts w:hint="eastAsia"/>
                <w:lang w:eastAsia="zh-CN"/>
              </w:rPr>
              <w:t>（引用）</w:t>
            </w:r>
            <w:r>
              <w:rPr>
                <w:rFonts w:hint="eastAsia"/>
              </w:rPr>
              <w:t>）</w:t>
            </w:r>
          </w:p>
          <w:tbl>
            <w:tblPr>
              <w:tblStyle w:val="36"/>
              <w:tblW w:w="5000" w:type="pct"/>
              <w:tblInd w:w="0" w:type="dxa"/>
              <w:tblLayout w:type="autofit"/>
              <w:tblCellMar>
                <w:top w:w="0" w:type="dxa"/>
                <w:left w:w="108" w:type="dxa"/>
                <w:bottom w:w="0" w:type="dxa"/>
                <w:right w:w="108" w:type="dxa"/>
              </w:tblCellMar>
            </w:tblPr>
            <w:tblGrid>
              <w:gridCol w:w="1888"/>
              <w:gridCol w:w="1473"/>
              <w:gridCol w:w="2147"/>
              <w:gridCol w:w="2148"/>
            </w:tblGrid>
            <w:tr>
              <w:tblPrEx>
                <w:tblCellMar>
                  <w:top w:w="0" w:type="dxa"/>
                  <w:left w:w="108" w:type="dxa"/>
                  <w:bottom w:w="0" w:type="dxa"/>
                  <w:right w:w="108" w:type="dxa"/>
                </w:tblCellMar>
              </w:tblPrEx>
              <w:trPr>
                <w:trHeight w:val="285" w:hRule="atLeast"/>
              </w:trPr>
              <w:tc>
                <w:tcPr>
                  <w:tcW w:w="2195"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lang w:val="zh-CN"/>
                    </w:rPr>
                    <w:t>采样时段</w:t>
                  </w:r>
                </w:p>
              </w:tc>
              <w:tc>
                <w:tcPr>
                  <w:tcW w:w="2805"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kern w:val="0"/>
                      <w:sz w:val="22"/>
                    </w:rPr>
                  </w:pPr>
                  <w:r>
                    <w:rPr>
                      <w:kern w:val="0"/>
                      <w:sz w:val="22"/>
                    </w:rPr>
                    <w:t>检测结果（单位：mg/m</w:t>
                  </w:r>
                  <w:r>
                    <w:rPr>
                      <w:kern w:val="0"/>
                      <w:sz w:val="22"/>
                      <w:vertAlign w:val="superscript"/>
                    </w:rPr>
                    <w:t>3</w:t>
                  </w:r>
                  <w:r>
                    <w:rPr>
                      <w:kern w:val="0"/>
                      <w:sz w:val="22"/>
                    </w:rPr>
                    <w:t>，注明者除外）</w:t>
                  </w:r>
                </w:p>
              </w:tc>
            </w:tr>
            <w:tr>
              <w:tblPrEx>
                <w:tblCellMar>
                  <w:top w:w="0" w:type="dxa"/>
                  <w:left w:w="108" w:type="dxa"/>
                  <w:bottom w:w="0" w:type="dxa"/>
                  <w:right w:w="108" w:type="dxa"/>
                </w:tblCellMar>
              </w:tblPrEx>
              <w:trPr>
                <w:trHeight w:val="285" w:hRule="atLeast"/>
              </w:trPr>
              <w:tc>
                <w:tcPr>
                  <w:tcW w:w="2195"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宋体" w:hAnsi="宋体" w:cs="宋体"/>
                      <w:kern w:val="0"/>
                      <w:sz w:val="20"/>
                      <w:szCs w:val="20"/>
                    </w:rPr>
                  </w:pPr>
                </w:p>
              </w:tc>
              <w:tc>
                <w:tcPr>
                  <w:tcW w:w="140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lang w:val="zh-CN"/>
                    </w:rPr>
                    <w:t>氨</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lang w:val="zh-CN"/>
                    </w:rPr>
                    <w:t>硫化氢</w:t>
                  </w:r>
                </w:p>
              </w:tc>
            </w:tr>
            <w:tr>
              <w:tblPrEx>
                <w:tblCellMar>
                  <w:top w:w="0" w:type="dxa"/>
                  <w:left w:w="108" w:type="dxa"/>
                  <w:bottom w:w="0" w:type="dxa"/>
                  <w:right w:w="108" w:type="dxa"/>
                </w:tblCellMar>
              </w:tblPrEx>
              <w:trPr>
                <w:trHeight w:val="285" w:hRule="atLeast"/>
              </w:trPr>
              <w:tc>
                <w:tcPr>
                  <w:tcW w:w="2195"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宋体" w:hAnsi="宋体" w:cs="宋体"/>
                      <w:kern w:val="0"/>
                      <w:sz w:val="20"/>
                      <w:szCs w:val="20"/>
                    </w:rPr>
                  </w:pPr>
                </w:p>
              </w:tc>
              <w:tc>
                <w:tcPr>
                  <w:tcW w:w="140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lang w:val="zh-CN"/>
                    </w:rPr>
                    <w:t>小时平均</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lang w:val="zh-CN"/>
                    </w:rPr>
                    <w:t>小时平均</w:t>
                  </w:r>
                </w:p>
              </w:tc>
            </w:tr>
            <w:tr>
              <w:tblPrEx>
                <w:tblCellMar>
                  <w:top w:w="0" w:type="dxa"/>
                  <w:left w:w="108" w:type="dxa"/>
                  <w:bottom w:w="0" w:type="dxa"/>
                  <w:right w:w="108" w:type="dxa"/>
                </w:tblCellMar>
              </w:tblPrEx>
              <w:trPr>
                <w:trHeight w:val="285" w:hRule="atLeast"/>
              </w:trPr>
              <w:tc>
                <w:tcPr>
                  <w:tcW w:w="123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2021/1/21</w:t>
                  </w: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2:00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等线"/>
                      <w:kern w:val="0"/>
                      <w:sz w:val="20"/>
                      <w:szCs w:val="20"/>
                    </w:rPr>
                  </w:pP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8:00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等线"/>
                      <w:kern w:val="0"/>
                      <w:sz w:val="20"/>
                      <w:szCs w:val="20"/>
                    </w:rPr>
                  </w:pP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14:00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等线"/>
                      <w:kern w:val="0"/>
                      <w:sz w:val="20"/>
                      <w:szCs w:val="20"/>
                    </w:rPr>
                  </w:pP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20:00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2021/1/22</w:t>
                  </w: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2:00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等线"/>
                      <w:kern w:val="0"/>
                      <w:sz w:val="20"/>
                      <w:szCs w:val="20"/>
                    </w:rPr>
                  </w:pP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8:00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等线"/>
                      <w:kern w:val="0"/>
                      <w:sz w:val="20"/>
                      <w:szCs w:val="20"/>
                    </w:rPr>
                  </w:pP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14:00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等线"/>
                      <w:kern w:val="0"/>
                      <w:sz w:val="20"/>
                      <w:szCs w:val="20"/>
                    </w:rPr>
                  </w:pP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20:00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2021/1/23</w:t>
                  </w: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2:00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等线"/>
                      <w:kern w:val="0"/>
                      <w:sz w:val="20"/>
                      <w:szCs w:val="20"/>
                    </w:rPr>
                  </w:pP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8:00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等线"/>
                      <w:kern w:val="0"/>
                      <w:sz w:val="20"/>
                      <w:szCs w:val="20"/>
                    </w:rPr>
                  </w:pP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14:00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r>
              <w:tblPrEx>
                <w:tblCellMar>
                  <w:top w:w="0" w:type="dxa"/>
                  <w:left w:w="108" w:type="dxa"/>
                  <w:bottom w:w="0" w:type="dxa"/>
                  <w:right w:w="108" w:type="dxa"/>
                </w:tblCellMar>
              </w:tblPrEx>
              <w:trPr>
                <w:trHeight w:val="285" w:hRule="atLeast"/>
              </w:trPr>
              <w:tc>
                <w:tcPr>
                  <w:tcW w:w="123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等线"/>
                      <w:kern w:val="0"/>
                      <w:sz w:val="20"/>
                      <w:szCs w:val="20"/>
                    </w:rPr>
                  </w:pPr>
                </w:p>
              </w:tc>
              <w:tc>
                <w:tcPr>
                  <w:tcW w:w="96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20:00</w:t>
                  </w:r>
                </w:p>
              </w:tc>
              <w:tc>
                <w:tcPr>
                  <w:tcW w:w="140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0.01L</w:t>
                  </w:r>
                </w:p>
              </w:tc>
              <w:tc>
                <w:tcPr>
                  <w:tcW w:w="140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kern w:val="0"/>
                      <w:sz w:val="20"/>
                      <w:szCs w:val="20"/>
                    </w:rPr>
                  </w:pPr>
                  <w:r>
                    <w:rPr>
                      <w:rFonts w:eastAsia="等线"/>
                      <w:kern w:val="0"/>
                      <w:sz w:val="20"/>
                      <w:szCs w:val="20"/>
                      <w:lang w:val="zh-CN"/>
                    </w:rPr>
                    <w:t>0.001L</w:t>
                  </w:r>
                </w:p>
              </w:tc>
            </w:tr>
          </w:tbl>
          <w:p>
            <w:pPr>
              <w:pStyle w:val="56"/>
            </w:pP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r>
              <w:rPr>
                <w:rFonts w:hint="eastAsia"/>
              </w:rPr>
              <w:t>其他污染物环境质量监测结果</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939"/>
              <w:gridCol w:w="1128"/>
              <w:gridCol w:w="1252"/>
              <w:gridCol w:w="1443"/>
              <w:gridCol w:w="790"/>
              <w:gridCol w:w="70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vMerge w:val="restart"/>
                  <w:vAlign w:val="center"/>
                </w:tcPr>
                <w:p>
                  <w:pPr>
                    <w:pStyle w:val="66"/>
                    <w:spacing w:before="24" w:after="24"/>
                  </w:pPr>
                  <w:r>
                    <w:rPr>
                      <w:rFonts w:hint="eastAsia"/>
                    </w:rPr>
                    <w:t>测点名称</w:t>
                  </w:r>
                </w:p>
              </w:tc>
              <w:tc>
                <w:tcPr>
                  <w:tcW w:w="614" w:type="pct"/>
                  <w:vMerge w:val="restart"/>
                  <w:vAlign w:val="center"/>
                </w:tcPr>
                <w:p>
                  <w:pPr>
                    <w:pStyle w:val="66"/>
                    <w:spacing w:before="24" w:after="24"/>
                  </w:pPr>
                  <w:r>
                    <w:rPr>
                      <w:rFonts w:hint="eastAsia"/>
                    </w:rPr>
                    <w:t>污染物</w:t>
                  </w:r>
                </w:p>
              </w:tc>
              <w:tc>
                <w:tcPr>
                  <w:tcW w:w="738" w:type="pct"/>
                  <w:vMerge w:val="restart"/>
                  <w:vAlign w:val="center"/>
                </w:tcPr>
                <w:p>
                  <w:pPr>
                    <w:pStyle w:val="66"/>
                    <w:spacing w:before="24" w:after="24"/>
                  </w:pPr>
                  <w:r>
                    <w:rPr>
                      <w:rFonts w:hint="eastAsia"/>
                    </w:rPr>
                    <w:t>平均时间</w:t>
                  </w:r>
                </w:p>
              </w:tc>
              <w:tc>
                <w:tcPr>
                  <w:tcW w:w="819" w:type="pct"/>
                  <w:vMerge w:val="restart"/>
                  <w:vAlign w:val="center"/>
                </w:tcPr>
                <w:p>
                  <w:pPr>
                    <w:pStyle w:val="66"/>
                    <w:spacing w:before="24" w:after="24"/>
                  </w:pPr>
                  <w:r>
                    <w:rPr>
                      <w:rFonts w:hint="eastAsia"/>
                    </w:rPr>
                    <w:t>评价标准/（m</w:t>
                  </w:r>
                  <w:r>
                    <w:t>g/m</w:t>
                  </w:r>
                  <w:r>
                    <w:rPr>
                      <w:vertAlign w:val="superscript"/>
                    </w:rPr>
                    <w:t>3</w:t>
                  </w:r>
                  <w:r>
                    <w:rPr>
                      <w:rFonts w:hint="eastAsia"/>
                    </w:rPr>
                    <w:t>）</w:t>
                  </w:r>
                </w:p>
              </w:tc>
              <w:tc>
                <w:tcPr>
                  <w:tcW w:w="944" w:type="pct"/>
                  <w:vMerge w:val="restart"/>
                  <w:vAlign w:val="center"/>
                </w:tcPr>
                <w:p>
                  <w:pPr>
                    <w:pStyle w:val="66"/>
                    <w:spacing w:before="24" w:after="24"/>
                  </w:pPr>
                  <w:r>
                    <w:rPr>
                      <w:rFonts w:hint="eastAsia"/>
                    </w:rPr>
                    <w:t>监测浓度范围/（m</w:t>
                  </w:r>
                  <w:r>
                    <w:t>g/m</w:t>
                  </w:r>
                  <w:r>
                    <w:rPr>
                      <w:vertAlign w:val="superscript"/>
                    </w:rPr>
                    <w:t>3</w:t>
                  </w:r>
                  <w:r>
                    <w:rPr>
                      <w:rFonts w:hint="eastAsia"/>
                    </w:rPr>
                    <w:t>）</w:t>
                  </w:r>
                </w:p>
              </w:tc>
              <w:tc>
                <w:tcPr>
                  <w:tcW w:w="517" w:type="pct"/>
                  <w:vMerge w:val="restart"/>
                  <w:vAlign w:val="center"/>
                </w:tcPr>
                <w:p>
                  <w:pPr>
                    <w:pStyle w:val="66"/>
                    <w:spacing w:before="24" w:after="24"/>
                  </w:pPr>
                  <w:r>
                    <w:rPr>
                      <w:rFonts w:hint="eastAsia"/>
                    </w:rPr>
                    <w:t>最大浓度占标率/%</w:t>
                  </w:r>
                </w:p>
              </w:tc>
              <w:tc>
                <w:tcPr>
                  <w:tcW w:w="461" w:type="pct"/>
                  <w:vMerge w:val="restart"/>
                  <w:vAlign w:val="center"/>
                </w:tcPr>
                <w:p>
                  <w:pPr>
                    <w:pStyle w:val="66"/>
                    <w:spacing w:before="24" w:after="24"/>
                  </w:pPr>
                  <w:r>
                    <w:rPr>
                      <w:rFonts w:hint="eastAsia"/>
                    </w:rPr>
                    <w:t>超标率/%</w:t>
                  </w:r>
                </w:p>
              </w:tc>
              <w:tc>
                <w:tcPr>
                  <w:tcW w:w="480" w:type="pct"/>
                  <w:vMerge w:val="restart"/>
                  <w:vAlign w:val="center"/>
                </w:tcPr>
                <w:p>
                  <w:pPr>
                    <w:pStyle w:val="66"/>
                    <w:spacing w:before="24" w:after="24"/>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vMerge w:val="continue"/>
                  <w:vAlign w:val="center"/>
                </w:tcPr>
                <w:p>
                  <w:pPr>
                    <w:pStyle w:val="66"/>
                    <w:spacing w:before="24" w:after="24"/>
                  </w:pPr>
                </w:p>
              </w:tc>
              <w:tc>
                <w:tcPr>
                  <w:tcW w:w="614" w:type="pct"/>
                  <w:vMerge w:val="continue"/>
                  <w:vAlign w:val="center"/>
                </w:tcPr>
                <w:p>
                  <w:pPr>
                    <w:pStyle w:val="66"/>
                    <w:spacing w:before="24" w:after="24"/>
                  </w:pPr>
                </w:p>
              </w:tc>
              <w:tc>
                <w:tcPr>
                  <w:tcW w:w="738" w:type="pct"/>
                  <w:vMerge w:val="continue"/>
                  <w:vAlign w:val="center"/>
                </w:tcPr>
                <w:p>
                  <w:pPr>
                    <w:pStyle w:val="66"/>
                    <w:spacing w:before="24" w:after="24"/>
                  </w:pPr>
                </w:p>
              </w:tc>
              <w:tc>
                <w:tcPr>
                  <w:tcW w:w="819" w:type="pct"/>
                  <w:vMerge w:val="continue"/>
                  <w:vAlign w:val="center"/>
                </w:tcPr>
                <w:p>
                  <w:pPr>
                    <w:pStyle w:val="66"/>
                    <w:spacing w:before="24" w:after="24"/>
                  </w:pPr>
                </w:p>
              </w:tc>
              <w:tc>
                <w:tcPr>
                  <w:tcW w:w="944" w:type="pct"/>
                  <w:vMerge w:val="continue"/>
                  <w:vAlign w:val="center"/>
                </w:tcPr>
                <w:p>
                  <w:pPr>
                    <w:pStyle w:val="66"/>
                    <w:spacing w:before="24" w:after="24"/>
                  </w:pPr>
                </w:p>
              </w:tc>
              <w:tc>
                <w:tcPr>
                  <w:tcW w:w="517" w:type="pct"/>
                  <w:vMerge w:val="continue"/>
                  <w:vAlign w:val="center"/>
                </w:tcPr>
                <w:p>
                  <w:pPr>
                    <w:pStyle w:val="66"/>
                    <w:spacing w:before="24" w:after="24"/>
                  </w:pPr>
                </w:p>
              </w:tc>
              <w:tc>
                <w:tcPr>
                  <w:tcW w:w="461" w:type="pct"/>
                  <w:vMerge w:val="continue"/>
                  <w:vAlign w:val="center"/>
                </w:tcPr>
                <w:p>
                  <w:pPr>
                    <w:pStyle w:val="66"/>
                    <w:spacing w:before="24" w:after="24"/>
                  </w:pPr>
                </w:p>
              </w:tc>
              <w:tc>
                <w:tcPr>
                  <w:tcW w:w="480"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vMerge w:val="restart"/>
                  <w:vAlign w:val="center"/>
                </w:tcPr>
                <w:p>
                  <w:pPr>
                    <w:pStyle w:val="66"/>
                    <w:spacing w:before="24" w:after="24"/>
                  </w:pPr>
                  <w:r>
                    <w:rPr>
                      <w:rFonts w:hint="eastAsia"/>
                      <w:lang w:eastAsia="zh-CN"/>
                    </w:rPr>
                    <w:t>上坡</w:t>
                  </w:r>
                </w:p>
              </w:tc>
              <w:tc>
                <w:tcPr>
                  <w:tcW w:w="614" w:type="pct"/>
                  <w:vAlign w:val="center"/>
                </w:tcPr>
                <w:p>
                  <w:pPr>
                    <w:pStyle w:val="56"/>
                    <w:rPr>
                      <w:lang w:val="en-US" w:eastAsia="zh-CN"/>
                    </w:rPr>
                  </w:pPr>
                  <w:r>
                    <w:rPr>
                      <w:rFonts w:hint="eastAsia"/>
                      <w:lang w:val="en-US" w:eastAsia="zh-CN"/>
                    </w:rPr>
                    <w:t>非甲烷总烃</w:t>
                  </w:r>
                </w:p>
              </w:tc>
              <w:tc>
                <w:tcPr>
                  <w:tcW w:w="738" w:type="pct"/>
                  <w:vAlign w:val="center"/>
                </w:tcPr>
                <w:p>
                  <w:pPr>
                    <w:pStyle w:val="56"/>
                    <w:rPr>
                      <w:lang w:eastAsia="zh-CN"/>
                    </w:rPr>
                  </w:pPr>
                  <w:r>
                    <w:rPr>
                      <w:rFonts w:hint="eastAsia"/>
                      <w:lang w:eastAsia="zh-CN"/>
                    </w:rPr>
                    <w:t>1小时平均值</w:t>
                  </w:r>
                </w:p>
              </w:tc>
              <w:tc>
                <w:tcPr>
                  <w:tcW w:w="819" w:type="pct"/>
                  <w:vAlign w:val="center"/>
                </w:tcPr>
                <w:p>
                  <w:pPr>
                    <w:pStyle w:val="66"/>
                    <w:spacing w:before="24" w:after="24"/>
                    <w:rPr>
                      <w:lang w:eastAsia="zh-CN"/>
                    </w:rPr>
                  </w:pPr>
                  <w:r>
                    <w:rPr>
                      <w:rFonts w:hint="eastAsia"/>
                      <w:lang w:eastAsia="zh-CN"/>
                    </w:rPr>
                    <w:t>2</w:t>
                  </w:r>
                </w:p>
              </w:tc>
              <w:tc>
                <w:tcPr>
                  <w:tcW w:w="944" w:type="pct"/>
                  <w:vAlign w:val="center"/>
                </w:tcPr>
                <w:p>
                  <w:pPr>
                    <w:pStyle w:val="66"/>
                    <w:spacing w:before="24" w:after="24"/>
                    <w:rPr>
                      <w:lang w:val="en-US" w:eastAsia="zh-CN"/>
                    </w:rPr>
                  </w:pPr>
                  <w:r>
                    <w:rPr>
                      <w:lang w:val="en-US" w:eastAsia="zh-CN"/>
                    </w:rPr>
                    <w:t>0.87</w:t>
                  </w:r>
                  <w:r>
                    <w:rPr>
                      <w:rFonts w:hint="eastAsia"/>
                      <w:lang w:val="en-US" w:eastAsia="zh-CN"/>
                    </w:rPr>
                    <w:t>~</w:t>
                  </w:r>
                  <w:r>
                    <w:rPr>
                      <w:lang w:val="en-US" w:eastAsia="zh-CN"/>
                    </w:rPr>
                    <w:t>1.22</w:t>
                  </w:r>
                </w:p>
              </w:tc>
              <w:tc>
                <w:tcPr>
                  <w:tcW w:w="517" w:type="pct"/>
                  <w:vAlign w:val="center"/>
                </w:tcPr>
                <w:p>
                  <w:pPr>
                    <w:pStyle w:val="66"/>
                    <w:spacing w:before="24" w:after="24"/>
                    <w:rPr>
                      <w:lang w:val="en-US" w:eastAsia="zh-CN"/>
                    </w:rPr>
                  </w:pPr>
                  <w:r>
                    <w:rPr>
                      <w:rFonts w:hint="eastAsia"/>
                      <w:lang w:val="en-US" w:eastAsia="zh-CN"/>
                    </w:rPr>
                    <w:t>6</w:t>
                  </w:r>
                  <w:r>
                    <w:rPr>
                      <w:lang w:val="en-US" w:eastAsia="zh-CN"/>
                    </w:rPr>
                    <w:t>1</w:t>
                  </w:r>
                </w:p>
              </w:tc>
              <w:tc>
                <w:tcPr>
                  <w:tcW w:w="461" w:type="pct"/>
                  <w:vAlign w:val="center"/>
                </w:tcPr>
                <w:p>
                  <w:pPr>
                    <w:pStyle w:val="66"/>
                    <w:spacing w:before="24" w:after="24"/>
                    <w:rPr>
                      <w:lang w:val="en-US" w:eastAsia="zh-CN"/>
                    </w:rPr>
                  </w:pPr>
                  <w:r>
                    <w:rPr>
                      <w:rFonts w:hint="eastAsia"/>
                      <w:lang w:val="en-US" w:eastAsia="zh-CN"/>
                    </w:rPr>
                    <w:t>0</w:t>
                  </w:r>
                </w:p>
              </w:tc>
              <w:tc>
                <w:tcPr>
                  <w:tcW w:w="480" w:type="pct"/>
                  <w:vAlign w:val="center"/>
                </w:tcPr>
                <w:p>
                  <w:pPr>
                    <w:pStyle w:val="66"/>
                    <w:spacing w:before="24" w:after="24"/>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vMerge w:val="continue"/>
                  <w:vAlign w:val="center"/>
                </w:tcPr>
                <w:p>
                  <w:pPr>
                    <w:pStyle w:val="66"/>
                    <w:spacing w:before="24" w:after="24"/>
                  </w:pPr>
                </w:p>
              </w:tc>
              <w:tc>
                <w:tcPr>
                  <w:tcW w:w="614" w:type="pct"/>
                  <w:vAlign w:val="center"/>
                </w:tcPr>
                <w:p>
                  <w:pPr>
                    <w:pStyle w:val="56"/>
                    <w:rPr>
                      <w:lang w:val="en-US" w:eastAsia="zh-CN"/>
                    </w:rPr>
                  </w:pPr>
                  <w:r>
                    <w:rPr>
                      <w:rFonts w:hint="eastAsia"/>
                      <w:lang w:val="en-US" w:eastAsia="zh-CN"/>
                    </w:rPr>
                    <w:t>TVOC</w:t>
                  </w:r>
                </w:p>
              </w:tc>
              <w:tc>
                <w:tcPr>
                  <w:tcW w:w="738" w:type="pct"/>
                  <w:vAlign w:val="center"/>
                </w:tcPr>
                <w:p>
                  <w:pPr>
                    <w:pStyle w:val="56"/>
                    <w:rPr>
                      <w:lang w:eastAsia="zh-CN"/>
                    </w:rPr>
                  </w:pPr>
                  <w:r>
                    <w:rPr>
                      <w:lang w:eastAsia="zh-CN"/>
                    </w:rPr>
                    <w:t>8</w:t>
                  </w:r>
                  <w:r>
                    <w:rPr>
                      <w:rFonts w:hint="eastAsia"/>
                      <w:lang w:eastAsia="zh-CN"/>
                    </w:rPr>
                    <w:t>小时平均值</w:t>
                  </w:r>
                </w:p>
              </w:tc>
              <w:tc>
                <w:tcPr>
                  <w:tcW w:w="819" w:type="pct"/>
                  <w:vAlign w:val="center"/>
                </w:tcPr>
                <w:p>
                  <w:pPr>
                    <w:pStyle w:val="66"/>
                    <w:spacing w:before="24" w:after="24"/>
                    <w:rPr>
                      <w:lang w:val="en-US" w:eastAsia="zh-CN"/>
                    </w:rPr>
                  </w:pPr>
                  <w:r>
                    <w:rPr>
                      <w:rFonts w:hint="eastAsia"/>
                      <w:lang w:val="en-US" w:eastAsia="zh-CN"/>
                    </w:rPr>
                    <w:t>0</w:t>
                  </w:r>
                  <w:r>
                    <w:rPr>
                      <w:lang w:val="en-US" w:eastAsia="zh-CN"/>
                    </w:rPr>
                    <w:t>.6</w:t>
                  </w:r>
                </w:p>
              </w:tc>
              <w:tc>
                <w:tcPr>
                  <w:tcW w:w="944" w:type="pct"/>
                  <w:vAlign w:val="center"/>
                </w:tcPr>
                <w:p>
                  <w:pPr>
                    <w:pStyle w:val="66"/>
                    <w:spacing w:before="24" w:after="24"/>
                    <w:rPr>
                      <w:lang w:val="en-US" w:eastAsia="zh-CN"/>
                    </w:rPr>
                  </w:pPr>
                  <w:r>
                    <w:rPr>
                      <w:rFonts w:hint="eastAsia"/>
                      <w:lang w:val="en-US" w:eastAsia="zh-CN"/>
                    </w:rPr>
                    <w:t>0</w:t>
                  </w:r>
                  <w:r>
                    <w:rPr>
                      <w:lang w:val="en-US" w:eastAsia="zh-CN"/>
                    </w:rPr>
                    <w:t>.2266</w:t>
                  </w:r>
                  <w:r>
                    <w:rPr>
                      <w:rFonts w:hint="eastAsia"/>
                      <w:lang w:val="en-US" w:eastAsia="zh-CN"/>
                    </w:rPr>
                    <w:t>~</w:t>
                  </w:r>
                  <w:r>
                    <w:rPr>
                      <w:lang w:val="en-US" w:eastAsia="zh-CN"/>
                    </w:rPr>
                    <w:t>0.512</w:t>
                  </w:r>
                </w:p>
              </w:tc>
              <w:tc>
                <w:tcPr>
                  <w:tcW w:w="517" w:type="pct"/>
                  <w:vAlign w:val="center"/>
                </w:tcPr>
                <w:p>
                  <w:pPr>
                    <w:pStyle w:val="66"/>
                    <w:spacing w:before="24" w:after="24"/>
                    <w:rPr>
                      <w:lang w:val="en-US" w:eastAsia="zh-CN"/>
                    </w:rPr>
                  </w:pPr>
                  <w:r>
                    <w:rPr>
                      <w:rFonts w:hint="eastAsia"/>
                      <w:lang w:val="en-US" w:eastAsia="zh-CN"/>
                    </w:rPr>
                    <w:t>8</w:t>
                  </w:r>
                  <w:r>
                    <w:rPr>
                      <w:lang w:val="en-US" w:eastAsia="zh-CN"/>
                    </w:rPr>
                    <w:t>5.3</w:t>
                  </w:r>
                </w:p>
              </w:tc>
              <w:tc>
                <w:tcPr>
                  <w:tcW w:w="461" w:type="pct"/>
                  <w:vAlign w:val="center"/>
                </w:tcPr>
                <w:p>
                  <w:pPr>
                    <w:pStyle w:val="66"/>
                    <w:spacing w:before="24" w:after="24"/>
                    <w:rPr>
                      <w:lang w:val="en-US" w:eastAsia="zh-CN"/>
                    </w:rPr>
                  </w:pPr>
                  <w:r>
                    <w:rPr>
                      <w:rFonts w:hint="eastAsia"/>
                      <w:lang w:val="en-US" w:eastAsia="zh-CN"/>
                    </w:rPr>
                    <w:t>0</w:t>
                  </w:r>
                </w:p>
              </w:tc>
              <w:tc>
                <w:tcPr>
                  <w:tcW w:w="480" w:type="pct"/>
                  <w:vAlign w:val="center"/>
                </w:tcPr>
                <w:p>
                  <w:pPr>
                    <w:pStyle w:val="66"/>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vMerge w:val="continue"/>
                  <w:vAlign w:val="center"/>
                </w:tcPr>
                <w:p>
                  <w:pPr>
                    <w:pStyle w:val="66"/>
                    <w:spacing w:before="24" w:after="24"/>
                  </w:pPr>
                </w:p>
              </w:tc>
              <w:tc>
                <w:tcPr>
                  <w:tcW w:w="614" w:type="pct"/>
                  <w:vMerge w:val="restart"/>
                  <w:vAlign w:val="center"/>
                </w:tcPr>
                <w:p>
                  <w:pPr>
                    <w:pStyle w:val="56"/>
                    <w:rPr>
                      <w:lang w:val="en-US" w:eastAsia="zh-CN"/>
                    </w:rPr>
                  </w:pPr>
                  <w:r>
                    <w:rPr>
                      <w:rFonts w:hint="eastAsia"/>
                      <w:lang w:val="en-US" w:eastAsia="zh-CN"/>
                    </w:rPr>
                    <w:t>氯化氢</w:t>
                  </w:r>
                </w:p>
              </w:tc>
              <w:tc>
                <w:tcPr>
                  <w:tcW w:w="738" w:type="pct"/>
                  <w:vAlign w:val="center"/>
                </w:tcPr>
                <w:p>
                  <w:pPr>
                    <w:pStyle w:val="56"/>
                    <w:rPr>
                      <w:lang w:eastAsia="zh-CN"/>
                    </w:rPr>
                  </w:pPr>
                  <w:r>
                    <w:rPr>
                      <w:rFonts w:hint="eastAsia"/>
                    </w:rPr>
                    <w:t>1小时平均值</w:t>
                  </w:r>
                </w:p>
              </w:tc>
              <w:tc>
                <w:tcPr>
                  <w:tcW w:w="819" w:type="pct"/>
                  <w:vAlign w:val="center"/>
                </w:tcPr>
                <w:p>
                  <w:pPr>
                    <w:pStyle w:val="66"/>
                    <w:spacing w:before="24" w:after="24"/>
                    <w:rPr>
                      <w:lang w:val="en-US" w:eastAsia="zh-CN"/>
                    </w:rPr>
                  </w:pPr>
                  <w:r>
                    <w:rPr>
                      <w:rFonts w:hint="eastAsia"/>
                      <w:lang w:val="en-US"/>
                    </w:rPr>
                    <w:t>0</w:t>
                  </w:r>
                  <w:r>
                    <w:rPr>
                      <w:lang w:val="en-US"/>
                    </w:rPr>
                    <w:t>.05</w:t>
                  </w:r>
                </w:p>
              </w:tc>
              <w:tc>
                <w:tcPr>
                  <w:tcW w:w="944" w:type="pct"/>
                  <w:vAlign w:val="center"/>
                </w:tcPr>
                <w:p>
                  <w:pPr>
                    <w:pStyle w:val="66"/>
                    <w:spacing w:before="24" w:after="24"/>
                    <w:rPr>
                      <w:lang w:val="en-US" w:eastAsia="zh-CN"/>
                    </w:rPr>
                  </w:pPr>
                  <w:r>
                    <w:rPr>
                      <w:kern w:val="0"/>
                      <w:sz w:val="20"/>
                      <w:szCs w:val="20"/>
                    </w:rPr>
                    <w:t>0.02L</w:t>
                  </w:r>
                </w:p>
              </w:tc>
              <w:tc>
                <w:tcPr>
                  <w:tcW w:w="517" w:type="pct"/>
                  <w:vAlign w:val="center"/>
                </w:tcPr>
                <w:p>
                  <w:pPr>
                    <w:pStyle w:val="66"/>
                    <w:spacing w:before="24" w:after="24"/>
                    <w:rPr>
                      <w:lang w:val="en-US" w:eastAsia="zh-CN"/>
                    </w:rPr>
                  </w:pPr>
                  <w:r>
                    <w:rPr>
                      <w:rFonts w:hint="eastAsia"/>
                      <w:lang w:val="en-US"/>
                    </w:rPr>
                    <w:t>2</w:t>
                  </w:r>
                  <w:r>
                    <w:rPr>
                      <w:lang w:val="en-US"/>
                    </w:rPr>
                    <w:t>0</w:t>
                  </w:r>
                </w:p>
              </w:tc>
              <w:tc>
                <w:tcPr>
                  <w:tcW w:w="461" w:type="pct"/>
                  <w:vAlign w:val="center"/>
                </w:tcPr>
                <w:p>
                  <w:pPr>
                    <w:pStyle w:val="66"/>
                    <w:spacing w:before="24" w:after="24"/>
                    <w:rPr>
                      <w:lang w:val="en-US" w:eastAsia="zh-CN"/>
                    </w:rPr>
                  </w:pPr>
                  <w:r>
                    <w:rPr>
                      <w:rFonts w:hint="eastAsia"/>
                      <w:lang w:val="en-US"/>
                    </w:rPr>
                    <w:t>0</w:t>
                  </w:r>
                </w:p>
              </w:tc>
              <w:tc>
                <w:tcPr>
                  <w:tcW w:w="480" w:type="pct"/>
                  <w:vAlign w:val="center"/>
                </w:tcPr>
                <w:p>
                  <w:pPr>
                    <w:pStyle w:val="66"/>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vMerge w:val="continue"/>
                  <w:vAlign w:val="center"/>
                </w:tcPr>
                <w:p>
                  <w:pPr>
                    <w:pStyle w:val="66"/>
                    <w:spacing w:before="24" w:after="24"/>
                  </w:pPr>
                </w:p>
              </w:tc>
              <w:tc>
                <w:tcPr>
                  <w:tcW w:w="614" w:type="pct"/>
                  <w:vMerge w:val="continue"/>
                  <w:vAlign w:val="center"/>
                </w:tcPr>
                <w:p>
                  <w:pPr>
                    <w:pStyle w:val="56"/>
                    <w:rPr>
                      <w:lang w:val="en-US" w:eastAsia="zh-CN"/>
                    </w:rPr>
                  </w:pPr>
                </w:p>
              </w:tc>
              <w:tc>
                <w:tcPr>
                  <w:tcW w:w="738" w:type="pct"/>
                  <w:vAlign w:val="center"/>
                </w:tcPr>
                <w:p>
                  <w:pPr>
                    <w:pStyle w:val="56"/>
                    <w:rPr>
                      <w:lang w:eastAsia="zh-CN"/>
                    </w:rPr>
                  </w:pPr>
                  <w:r>
                    <w:rPr>
                      <w:rFonts w:hint="eastAsia"/>
                    </w:rPr>
                    <w:t>日均值</w:t>
                  </w:r>
                </w:p>
              </w:tc>
              <w:tc>
                <w:tcPr>
                  <w:tcW w:w="819" w:type="pct"/>
                  <w:vAlign w:val="center"/>
                </w:tcPr>
                <w:p>
                  <w:pPr>
                    <w:pStyle w:val="66"/>
                    <w:spacing w:before="24" w:after="24"/>
                    <w:rPr>
                      <w:lang w:val="en-US" w:eastAsia="zh-CN"/>
                    </w:rPr>
                  </w:pPr>
                  <w:r>
                    <w:rPr>
                      <w:rFonts w:hint="eastAsia"/>
                      <w:lang w:val="en-US"/>
                    </w:rPr>
                    <w:t>0</w:t>
                  </w:r>
                  <w:r>
                    <w:rPr>
                      <w:lang w:val="en-US"/>
                    </w:rPr>
                    <w:t>.015</w:t>
                  </w:r>
                </w:p>
              </w:tc>
              <w:tc>
                <w:tcPr>
                  <w:tcW w:w="944" w:type="pct"/>
                  <w:vAlign w:val="center"/>
                </w:tcPr>
                <w:p>
                  <w:pPr>
                    <w:pStyle w:val="66"/>
                    <w:spacing w:before="24" w:after="24"/>
                    <w:rPr>
                      <w:lang w:val="en-US" w:eastAsia="zh-CN"/>
                    </w:rPr>
                  </w:pPr>
                  <w:r>
                    <w:rPr>
                      <w:kern w:val="0"/>
                      <w:sz w:val="20"/>
                      <w:szCs w:val="20"/>
                    </w:rPr>
                    <w:t>0.02L</w:t>
                  </w:r>
                </w:p>
              </w:tc>
              <w:tc>
                <w:tcPr>
                  <w:tcW w:w="517" w:type="pct"/>
                  <w:vAlign w:val="center"/>
                </w:tcPr>
                <w:p>
                  <w:pPr>
                    <w:pStyle w:val="66"/>
                    <w:spacing w:before="24" w:after="24"/>
                    <w:rPr>
                      <w:lang w:val="en-US" w:eastAsia="zh-CN"/>
                    </w:rPr>
                  </w:pPr>
                  <w:r>
                    <w:rPr>
                      <w:rFonts w:hint="eastAsia"/>
                      <w:lang w:val="en-US"/>
                    </w:rPr>
                    <w:t>6</w:t>
                  </w:r>
                  <w:r>
                    <w:rPr>
                      <w:lang w:val="en-US"/>
                    </w:rPr>
                    <w:t>6.7</w:t>
                  </w:r>
                </w:p>
              </w:tc>
              <w:tc>
                <w:tcPr>
                  <w:tcW w:w="461" w:type="pct"/>
                  <w:vAlign w:val="center"/>
                </w:tcPr>
                <w:p>
                  <w:pPr>
                    <w:pStyle w:val="66"/>
                    <w:spacing w:before="24" w:after="24"/>
                    <w:rPr>
                      <w:lang w:val="en-US" w:eastAsia="zh-CN"/>
                    </w:rPr>
                  </w:pPr>
                  <w:r>
                    <w:rPr>
                      <w:rFonts w:hint="eastAsia"/>
                      <w:lang w:val="en-US"/>
                    </w:rPr>
                    <w:t>0</w:t>
                  </w:r>
                </w:p>
              </w:tc>
              <w:tc>
                <w:tcPr>
                  <w:tcW w:w="480" w:type="pct"/>
                  <w:vAlign w:val="center"/>
                </w:tcPr>
                <w:p>
                  <w:pPr>
                    <w:pStyle w:val="66"/>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vMerge w:val="continue"/>
                  <w:vAlign w:val="center"/>
                </w:tcPr>
                <w:p>
                  <w:pPr>
                    <w:pStyle w:val="66"/>
                    <w:spacing w:before="24" w:after="24"/>
                  </w:pPr>
                </w:p>
              </w:tc>
              <w:tc>
                <w:tcPr>
                  <w:tcW w:w="614" w:type="pct"/>
                  <w:vAlign w:val="center"/>
                </w:tcPr>
                <w:p>
                  <w:pPr>
                    <w:pStyle w:val="56"/>
                    <w:rPr>
                      <w:lang w:val="en-US" w:eastAsia="zh-CN"/>
                    </w:rPr>
                  </w:pPr>
                  <w:r>
                    <w:rPr>
                      <w:rFonts w:hint="eastAsia"/>
                      <w:lang w:val="en-US" w:eastAsia="zh-CN"/>
                    </w:rPr>
                    <w:t>臭气浓度</w:t>
                  </w:r>
                </w:p>
              </w:tc>
              <w:tc>
                <w:tcPr>
                  <w:tcW w:w="738" w:type="pct"/>
                  <w:vAlign w:val="center"/>
                </w:tcPr>
                <w:p>
                  <w:pPr>
                    <w:pStyle w:val="56"/>
                  </w:pPr>
                  <w:r>
                    <w:rPr>
                      <w:rFonts w:hint="eastAsia"/>
                      <w:lang w:eastAsia="zh-CN"/>
                    </w:rPr>
                    <w:t>一次最大值</w:t>
                  </w:r>
                </w:p>
              </w:tc>
              <w:tc>
                <w:tcPr>
                  <w:tcW w:w="819" w:type="pct"/>
                  <w:vAlign w:val="center"/>
                </w:tcPr>
                <w:p>
                  <w:pPr>
                    <w:pStyle w:val="66"/>
                    <w:spacing w:before="24" w:after="24"/>
                    <w:rPr>
                      <w:lang w:val="en-US" w:eastAsia="zh-CN"/>
                    </w:rPr>
                  </w:pPr>
                  <w:r>
                    <w:rPr>
                      <w:rFonts w:hint="eastAsia"/>
                      <w:lang w:val="en-US" w:eastAsia="zh-CN"/>
                    </w:rPr>
                    <w:t>2</w:t>
                  </w:r>
                  <w:r>
                    <w:rPr>
                      <w:lang w:val="en-US" w:eastAsia="zh-CN"/>
                    </w:rPr>
                    <w:t>0</w:t>
                  </w:r>
                </w:p>
              </w:tc>
              <w:tc>
                <w:tcPr>
                  <w:tcW w:w="944" w:type="pct"/>
                  <w:vAlign w:val="center"/>
                </w:tcPr>
                <w:p>
                  <w:pPr>
                    <w:pStyle w:val="66"/>
                    <w:spacing w:before="24" w:after="24"/>
                    <w:rPr>
                      <w:lang w:val="en-US" w:eastAsia="zh-CN"/>
                    </w:rPr>
                  </w:pPr>
                  <w:r>
                    <w:rPr>
                      <w:rFonts w:hint="eastAsia"/>
                      <w:lang w:val="en-US" w:eastAsia="zh-CN"/>
                    </w:rPr>
                    <w:t>&lt;</w:t>
                  </w:r>
                  <w:r>
                    <w:rPr>
                      <w:lang w:val="en-US" w:eastAsia="zh-CN"/>
                    </w:rPr>
                    <w:t>10</w:t>
                  </w:r>
                </w:p>
              </w:tc>
              <w:tc>
                <w:tcPr>
                  <w:tcW w:w="517" w:type="pct"/>
                  <w:vAlign w:val="center"/>
                </w:tcPr>
                <w:p>
                  <w:pPr>
                    <w:pStyle w:val="66"/>
                    <w:spacing w:before="24" w:after="24"/>
                    <w:rPr>
                      <w:lang w:val="en-US" w:eastAsia="zh-CN"/>
                    </w:rPr>
                  </w:pPr>
                  <w:r>
                    <w:rPr>
                      <w:rFonts w:hint="eastAsia"/>
                      <w:lang w:val="en-US" w:eastAsia="zh-CN"/>
                    </w:rPr>
                    <w:t>/</w:t>
                  </w:r>
                </w:p>
              </w:tc>
              <w:tc>
                <w:tcPr>
                  <w:tcW w:w="461" w:type="pct"/>
                  <w:vAlign w:val="center"/>
                </w:tcPr>
                <w:p>
                  <w:pPr>
                    <w:pStyle w:val="66"/>
                    <w:spacing w:before="24" w:after="24"/>
                    <w:rPr>
                      <w:lang w:val="en-US" w:eastAsia="zh-CN"/>
                    </w:rPr>
                  </w:pPr>
                  <w:r>
                    <w:rPr>
                      <w:rFonts w:hint="eastAsia"/>
                      <w:lang w:val="en-US" w:eastAsia="zh-CN"/>
                    </w:rPr>
                    <w:t>0</w:t>
                  </w:r>
                </w:p>
              </w:tc>
              <w:tc>
                <w:tcPr>
                  <w:tcW w:w="480" w:type="pct"/>
                  <w:vAlign w:val="center"/>
                </w:tcPr>
                <w:p>
                  <w:pPr>
                    <w:pStyle w:val="66"/>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vMerge w:val="restart"/>
                  <w:vAlign w:val="center"/>
                </w:tcPr>
                <w:p>
                  <w:pPr>
                    <w:pStyle w:val="66"/>
                    <w:spacing w:before="24" w:after="24"/>
                  </w:pPr>
                  <w:r>
                    <w:rPr>
                      <w:rFonts w:hint="eastAsia"/>
                      <w:lang w:eastAsia="zh-CN"/>
                    </w:rPr>
                    <w:t>刘屋村</w:t>
                  </w:r>
                </w:p>
              </w:tc>
              <w:tc>
                <w:tcPr>
                  <w:tcW w:w="614" w:type="pct"/>
                  <w:vAlign w:val="center"/>
                </w:tcPr>
                <w:p>
                  <w:pPr>
                    <w:pStyle w:val="56"/>
                    <w:rPr>
                      <w:lang w:val="en-US" w:eastAsia="zh-CN"/>
                    </w:rPr>
                  </w:pPr>
                  <w:r>
                    <w:rPr>
                      <w:rFonts w:hint="eastAsia"/>
                      <w:lang w:val="en-US" w:eastAsia="zh-CN"/>
                    </w:rPr>
                    <w:t>氨</w:t>
                  </w:r>
                </w:p>
              </w:tc>
              <w:tc>
                <w:tcPr>
                  <w:tcW w:w="738" w:type="pct"/>
                  <w:vAlign w:val="center"/>
                </w:tcPr>
                <w:p>
                  <w:pPr>
                    <w:pStyle w:val="56"/>
                    <w:rPr>
                      <w:lang w:eastAsia="zh-CN"/>
                    </w:rPr>
                  </w:pPr>
                  <w:r>
                    <w:rPr>
                      <w:rFonts w:hint="eastAsia"/>
                      <w:lang w:eastAsia="zh-CN"/>
                    </w:rPr>
                    <w:t>1小时平均值</w:t>
                  </w:r>
                </w:p>
              </w:tc>
              <w:tc>
                <w:tcPr>
                  <w:tcW w:w="819" w:type="pct"/>
                  <w:vAlign w:val="center"/>
                </w:tcPr>
                <w:p>
                  <w:pPr>
                    <w:pStyle w:val="66"/>
                    <w:spacing w:before="24" w:after="24"/>
                    <w:rPr>
                      <w:lang w:val="en-US" w:eastAsia="zh-CN"/>
                    </w:rPr>
                  </w:pPr>
                  <w:r>
                    <w:rPr>
                      <w:rFonts w:hint="eastAsia"/>
                      <w:lang w:val="en-US" w:eastAsia="zh-CN"/>
                    </w:rPr>
                    <w:t>0.1</w:t>
                  </w:r>
                </w:p>
              </w:tc>
              <w:tc>
                <w:tcPr>
                  <w:tcW w:w="944" w:type="pct"/>
                  <w:vAlign w:val="center"/>
                </w:tcPr>
                <w:p>
                  <w:pPr>
                    <w:pStyle w:val="66"/>
                    <w:spacing w:before="24" w:after="24"/>
                    <w:rPr>
                      <w:kern w:val="0"/>
                      <w:sz w:val="20"/>
                      <w:szCs w:val="20"/>
                    </w:rPr>
                  </w:pPr>
                  <w:r>
                    <w:rPr>
                      <w:kern w:val="0"/>
                      <w:sz w:val="20"/>
                      <w:szCs w:val="20"/>
                    </w:rPr>
                    <w:t>0.01L</w:t>
                  </w:r>
                </w:p>
              </w:tc>
              <w:tc>
                <w:tcPr>
                  <w:tcW w:w="517" w:type="pct"/>
                  <w:vAlign w:val="center"/>
                </w:tcPr>
                <w:p>
                  <w:pPr>
                    <w:pStyle w:val="66"/>
                    <w:spacing w:before="24" w:after="24"/>
                    <w:rPr>
                      <w:lang w:val="en-US" w:eastAsia="zh-CN"/>
                    </w:rPr>
                  </w:pPr>
                  <w:r>
                    <w:rPr>
                      <w:rFonts w:hint="eastAsia"/>
                      <w:lang w:val="en-US" w:eastAsia="zh-CN"/>
                    </w:rPr>
                    <w:t>5</w:t>
                  </w:r>
                </w:p>
              </w:tc>
              <w:tc>
                <w:tcPr>
                  <w:tcW w:w="461" w:type="pct"/>
                  <w:vAlign w:val="center"/>
                </w:tcPr>
                <w:p>
                  <w:pPr>
                    <w:pStyle w:val="66"/>
                    <w:spacing w:before="24" w:after="24"/>
                    <w:rPr>
                      <w:lang w:val="en-US" w:eastAsia="zh-CN"/>
                    </w:rPr>
                  </w:pPr>
                  <w:r>
                    <w:rPr>
                      <w:rFonts w:hint="eastAsia"/>
                      <w:lang w:val="en-US" w:eastAsia="zh-CN"/>
                    </w:rPr>
                    <w:t>0</w:t>
                  </w:r>
                </w:p>
              </w:tc>
              <w:tc>
                <w:tcPr>
                  <w:tcW w:w="480" w:type="pct"/>
                  <w:vAlign w:val="center"/>
                </w:tcPr>
                <w:p>
                  <w:pPr>
                    <w:pStyle w:val="66"/>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vMerge w:val="continue"/>
                  <w:vAlign w:val="center"/>
                </w:tcPr>
                <w:p>
                  <w:pPr>
                    <w:pStyle w:val="66"/>
                    <w:spacing w:before="24" w:after="24"/>
                  </w:pPr>
                </w:p>
              </w:tc>
              <w:tc>
                <w:tcPr>
                  <w:tcW w:w="614" w:type="pct"/>
                  <w:vAlign w:val="center"/>
                </w:tcPr>
                <w:p>
                  <w:pPr>
                    <w:pStyle w:val="56"/>
                    <w:rPr>
                      <w:lang w:val="en-US" w:eastAsia="zh-CN"/>
                    </w:rPr>
                  </w:pPr>
                  <w:r>
                    <w:rPr>
                      <w:rFonts w:hint="eastAsia"/>
                      <w:lang w:val="en-US" w:eastAsia="zh-CN"/>
                    </w:rPr>
                    <w:t>硫化氢</w:t>
                  </w:r>
                </w:p>
              </w:tc>
              <w:tc>
                <w:tcPr>
                  <w:tcW w:w="738" w:type="pct"/>
                  <w:vAlign w:val="center"/>
                </w:tcPr>
                <w:p>
                  <w:pPr>
                    <w:pStyle w:val="56"/>
                    <w:rPr>
                      <w:lang w:eastAsia="zh-CN"/>
                    </w:rPr>
                  </w:pPr>
                  <w:r>
                    <w:rPr>
                      <w:rFonts w:hint="eastAsia"/>
                      <w:lang w:eastAsia="zh-CN"/>
                    </w:rPr>
                    <w:t>1小时平均值</w:t>
                  </w:r>
                </w:p>
              </w:tc>
              <w:tc>
                <w:tcPr>
                  <w:tcW w:w="819" w:type="pct"/>
                  <w:vAlign w:val="center"/>
                </w:tcPr>
                <w:p>
                  <w:pPr>
                    <w:pStyle w:val="66"/>
                    <w:spacing w:before="24" w:after="24"/>
                    <w:rPr>
                      <w:lang w:val="en-US" w:eastAsia="zh-CN"/>
                    </w:rPr>
                  </w:pPr>
                  <w:r>
                    <w:rPr>
                      <w:rFonts w:hint="eastAsia"/>
                      <w:lang w:val="en-US" w:eastAsia="zh-CN"/>
                    </w:rPr>
                    <w:t>0.02</w:t>
                  </w:r>
                </w:p>
              </w:tc>
              <w:tc>
                <w:tcPr>
                  <w:tcW w:w="944" w:type="pct"/>
                  <w:vAlign w:val="center"/>
                </w:tcPr>
                <w:p>
                  <w:pPr>
                    <w:pStyle w:val="66"/>
                    <w:spacing w:before="24" w:after="24"/>
                    <w:rPr>
                      <w:kern w:val="0"/>
                      <w:sz w:val="20"/>
                      <w:szCs w:val="20"/>
                    </w:rPr>
                  </w:pPr>
                  <w:r>
                    <w:rPr>
                      <w:kern w:val="0"/>
                      <w:sz w:val="20"/>
                      <w:szCs w:val="20"/>
                    </w:rPr>
                    <w:t>0.001L</w:t>
                  </w:r>
                </w:p>
              </w:tc>
              <w:tc>
                <w:tcPr>
                  <w:tcW w:w="517" w:type="pct"/>
                  <w:vAlign w:val="center"/>
                </w:tcPr>
                <w:p>
                  <w:pPr>
                    <w:pStyle w:val="66"/>
                    <w:spacing w:before="24" w:after="24"/>
                    <w:rPr>
                      <w:lang w:val="en-US" w:eastAsia="zh-CN"/>
                    </w:rPr>
                  </w:pPr>
                  <w:r>
                    <w:rPr>
                      <w:lang w:val="en-US" w:eastAsia="zh-CN"/>
                    </w:rPr>
                    <w:t>2.5</w:t>
                  </w:r>
                </w:p>
              </w:tc>
              <w:tc>
                <w:tcPr>
                  <w:tcW w:w="461" w:type="pct"/>
                  <w:vAlign w:val="center"/>
                </w:tcPr>
                <w:p>
                  <w:pPr>
                    <w:pStyle w:val="66"/>
                    <w:spacing w:before="24" w:after="24"/>
                    <w:rPr>
                      <w:lang w:val="en-US" w:eastAsia="zh-CN"/>
                    </w:rPr>
                  </w:pPr>
                  <w:r>
                    <w:rPr>
                      <w:rFonts w:hint="eastAsia"/>
                      <w:lang w:val="en-US" w:eastAsia="zh-CN"/>
                    </w:rPr>
                    <w:t>0</w:t>
                  </w:r>
                </w:p>
              </w:tc>
              <w:tc>
                <w:tcPr>
                  <w:tcW w:w="480" w:type="pct"/>
                  <w:vAlign w:val="center"/>
                </w:tcPr>
                <w:p>
                  <w:pPr>
                    <w:pStyle w:val="66"/>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8"/>
                  <w:vAlign w:val="center"/>
                </w:tcPr>
                <w:p>
                  <w:pPr>
                    <w:pStyle w:val="66"/>
                    <w:spacing w:before="24" w:after="24"/>
                    <w:jc w:val="both"/>
                    <w:rPr>
                      <w:lang w:val="en-US" w:eastAsia="zh-CN"/>
                    </w:rPr>
                  </w:pPr>
                  <w:r>
                    <w:rPr>
                      <w:rFonts w:hint="eastAsia"/>
                      <w:lang w:val="en-US" w:eastAsia="zh-CN"/>
                    </w:rPr>
                    <w:t>注：当测定结果低于方法检出限时，最大占标率按检出限值的1/2进行计算。</w:t>
                  </w:r>
                </w:p>
              </w:tc>
            </w:tr>
          </w:tbl>
          <w:p>
            <w:pPr>
              <w:pStyle w:val="56"/>
            </w:pPr>
          </w:p>
          <w:p>
            <w:pPr>
              <w:ind w:firstLine="480"/>
            </w:pPr>
            <w:r>
              <w:rPr>
                <w:rFonts w:hint="eastAsia"/>
              </w:rPr>
              <w:t>根据周边敏感点（大坡、刘屋村）监测结果可知，非甲烷总烃监测结果符合《大气污染物综合排放标准详解》推荐值，TVOC、氯化氢、硫化氢、氨监测结果均满足《环境影响评价技术导则 大气环境》（HJ2.2-2018）附录D其他污染物空气质量浓度参考限值要求；臭气浓度监测结果满足《恶臭污染物排放标准》（GB14554-93）中表2恶臭污染物排放标准值要求。</w:t>
            </w:r>
          </w:p>
          <w:p>
            <w:pPr>
              <w:pStyle w:val="3"/>
              <w:rPr>
                <w:lang w:eastAsia="zh-CN"/>
              </w:rPr>
            </w:pPr>
            <w:bookmarkStart w:id="79" w:name="_Toc120889806"/>
            <w:bookmarkStart w:id="80" w:name="_Toc121147735"/>
            <w:bookmarkStart w:id="81" w:name="_Toc122338503"/>
            <w:r>
              <w:rPr>
                <w:rFonts w:hint="eastAsia"/>
                <w:lang w:eastAsia="zh-CN"/>
              </w:rPr>
              <w:t>地表水环境质量现状</w:t>
            </w:r>
            <w:bookmarkEnd w:id="79"/>
            <w:bookmarkEnd w:id="80"/>
            <w:bookmarkEnd w:id="81"/>
          </w:p>
          <w:p>
            <w:pPr>
              <w:ind w:firstLine="480"/>
              <w:rPr>
                <w:rFonts w:ascii="宋体" w:hAnsi="宋体" w:cs="宋体"/>
              </w:rPr>
            </w:pPr>
            <w:r>
              <w:rPr>
                <w:rFonts w:hint="eastAsia" w:ascii="宋体" w:hAnsi="宋体" w:cs="宋体"/>
              </w:rPr>
              <w:t>根据《环境影响评价技术导则</w:t>
            </w:r>
            <w:r>
              <w:rPr>
                <w:rFonts w:ascii="宋体" w:hAnsi="宋体" w:cs="宋体"/>
              </w:rPr>
              <w:t xml:space="preserve"> </w:t>
            </w:r>
            <w:r>
              <w:rPr>
                <w:rFonts w:hint="eastAsia" w:ascii="宋体" w:hAnsi="宋体" w:cs="宋体"/>
              </w:rPr>
              <w:t>地表水环境》</w:t>
            </w:r>
            <w:r>
              <w:t>（HJ 2.3-2018）</w:t>
            </w:r>
            <w:r>
              <w:rPr>
                <w:rFonts w:ascii="宋体" w:hAnsi="宋体" w:cs="宋体"/>
              </w:rPr>
              <w:t>中的规定，项目属于间接排放建设项目，评价工作等级定为三级B，可不开展水环境质量现状调查。</w:t>
            </w:r>
          </w:p>
          <w:p>
            <w:pPr>
              <w:ind w:firstLine="480"/>
              <w:rPr>
                <w:rFonts w:ascii="宋体" w:hAnsi="宋体" w:cs="宋体"/>
              </w:rPr>
            </w:pPr>
            <w:r>
              <w:rPr>
                <w:rFonts w:hint="eastAsia" w:ascii="宋体" w:hAnsi="宋体" w:cs="宋体"/>
              </w:rPr>
              <w:t>本项目污水依托茂名市高新技术产业开发区水质净化厂污水处理系统处理，后经排海管道排放口排放至澳内海。本次评价引用广东省生态环境厅公开发布的《广东省</w:t>
            </w:r>
            <w:r>
              <w:rPr>
                <w:rFonts w:ascii="宋体" w:hAnsi="宋体" w:cs="宋体"/>
              </w:rPr>
              <w:t>2021</w:t>
            </w:r>
            <w:r>
              <w:rPr>
                <w:rFonts w:hint="eastAsia" w:ascii="宋体" w:hAnsi="宋体" w:cs="宋体"/>
              </w:rPr>
              <w:t>年近岸海域海水水质监测信息》中监测点位编号为</w:t>
            </w:r>
            <w:r>
              <w:rPr>
                <w:rFonts w:ascii="宋体" w:hAnsi="宋体" w:cs="宋体"/>
              </w:rPr>
              <w:t xml:space="preserve"> GDN07021 </w:t>
            </w:r>
            <w:r>
              <w:rPr>
                <w:rFonts w:hint="eastAsia" w:ascii="宋体" w:hAnsi="宋体" w:cs="宋体"/>
              </w:rPr>
              <w:t>的监测数据。</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监测</w:t>
            </w:r>
            <w:r>
              <w:rPr>
                <w:rFonts w:hint="eastAsia"/>
                <w:lang w:eastAsia="zh-CN"/>
              </w:rPr>
              <w:t>点</w:t>
            </w:r>
            <w:r>
              <w:rPr>
                <w:rFonts w:hint="eastAsia"/>
              </w:rPr>
              <w:t>信息</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2172"/>
              <w:gridCol w:w="1975"/>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tcBorders>
                    <w:right w:val="single" w:color="auto" w:sz="4" w:space="0"/>
                  </w:tcBorders>
                  <w:vAlign w:val="center"/>
                </w:tcPr>
                <w:p>
                  <w:pPr>
                    <w:adjustRightInd/>
                    <w:snapToGrid/>
                    <w:spacing w:line="240" w:lineRule="auto"/>
                    <w:ind w:firstLine="0" w:firstLineChars="0"/>
                    <w:jc w:val="center"/>
                    <w:rPr>
                      <w:sz w:val="21"/>
                      <w:szCs w:val="21"/>
                    </w:rPr>
                  </w:pPr>
                  <w:r>
                    <w:rPr>
                      <w:sz w:val="21"/>
                      <w:szCs w:val="21"/>
                    </w:rPr>
                    <w:t>监测点位</w:t>
                  </w:r>
                </w:p>
              </w:tc>
              <w:tc>
                <w:tcPr>
                  <w:tcW w:w="3780" w:type="pct"/>
                  <w:gridSpan w:val="3"/>
                  <w:tcBorders>
                    <w:left w:val="single" w:color="auto" w:sz="4" w:space="0"/>
                  </w:tcBorders>
                  <w:vAlign w:val="center"/>
                </w:tcPr>
                <w:p>
                  <w:pPr>
                    <w:adjustRightInd/>
                    <w:snapToGrid/>
                    <w:spacing w:line="240" w:lineRule="auto"/>
                    <w:ind w:firstLine="0" w:firstLineChars="0"/>
                    <w:jc w:val="center"/>
                    <w:rPr>
                      <w:sz w:val="21"/>
                      <w:szCs w:val="21"/>
                    </w:rPr>
                  </w:pPr>
                  <w:r>
                    <w:rPr>
                      <w:sz w:val="21"/>
                      <w:szCs w:val="21"/>
                    </w:rPr>
                    <w:t>澳内海工业排污区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tcBorders>
                    <w:right w:val="single" w:color="auto" w:sz="4" w:space="0"/>
                  </w:tcBorders>
                  <w:vAlign w:val="center"/>
                </w:tcPr>
                <w:p>
                  <w:pPr>
                    <w:adjustRightInd/>
                    <w:snapToGrid/>
                    <w:spacing w:line="240" w:lineRule="auto"/>
                    <w:ind w:firstLine="0" w:firstLineChars="0"/>
                    <w:jc w:val="center"/>
                    <w:rPr>
                      <w:sz w:val="21"/>
                      <w:szCs w:val="21"/>
                    </w:rPr>
                  </w:pPr>
                  <w:r>
                    <w:rPr>
                      <w:sz w:val="21"/>
                      <w:szCs w:val="21"/>
                    </w:rPr>
                    <w:t>监测点编号</w:t>
                  </w:r>
                </w:p>
              </w:tc>
              <w:tc>
                <w:tcPr>
                  <w:tcW w:w="3780" w:type="pct"/>
                  <w:gridSpan w:val="3"/>
                  <w:tcBorders>
                    <w:left w:val="single" w:color="auto" w:sz="4" w:space="0"/>
                  </w:tcBorders>
                  <w:vAlign w:val="center"/>
                </w:tcPr>
                <w:p>
                  <w:pPr>
                    <w:adjustRightInd/>
                    <w:snapToGrid/>
                    <w:spacing w:line="240" w:lineRule="auto"/>
                    <w:ind w:firstLine="0" w:firstLineChars="0"/>
                    <w:jc w:val="center"/>
                    <w:rPr>
                      <w:sz w:val="21"/>
                      <w:szCs w:val="21"/>
                    </w:rPr>
                  </w:pPr>
                  <w:r>
                    <w:rPr>
                      <w:sz w:val="21"/>
                      <w:szCs w:val="21"/>
                    </w:rPr>
                    <w:t>GDN07021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tcBorders>
                    <w:right w:val="single" w:color="auto" w:sz="4" w:space="0"/>
                  </w:tcBorders>
                  <w:vAlign w:val="center"/>
                </w:tcPr>
                <w:p>
                  <w:pPr>
                    <w:adjustRightInd/>
                    <w:snapToGrid/>
                    <w:spacing w:line="240" w:lineRule="auto"/>
                    <w:ind w:firstLine="0" w:firstLineChars="0"/>
                    <w:jc w:val="center"/>
                    <w:rPr>
                      <w:sz w:val="21"/>
                      <w:szCs w:val="21"/>
                    </w:rPr>
                  </w:pPr>
                  <w:r>
                    <w:rPr>
                      <w:sz w:val="21"/>
                      <w:szCs w:val="21"/>
                    </w:rPr>
                    <w:t>监测点经纬度</w:t>
                  </w:r>
                </w:p>
              </w:tc>
              <w:tc>
                <w:tcPr>
                  <w:tcW w:w="3780" w:type="pct"/>
                  <w:gridSpan w:val="3"/>
                  <w:tcBorders>
                    <w:left w:val="single" w:color="auto" w:sz="4" w:space="0"/>
                  </w:tcBorders>
                  <w:vAlign w:val="center"/>
                </w:tcPr>
                <w:p>
                  <w:pPr>
                    <w:adjustRightInd/>
                    <w:snapToGrid/>
                    <w:spacing w:line="240" w:lineRule="auto"/>
                    <w:ind w:firstLine="0" w:firstLineChars="0"/>
                    <w:jc w:val="center"/>
                    <w:rPr>
                      <w:sz w:val="21"/>
                      <w:szCs w:val="21"/>
                    </w:rPr>
                  </w:pPr>
                  <w:r>
                    <w:rPr>
                      <w:sz w:val="21"/>
                      <w:szCs w:val="21"/>
                    </w:rPr>
                    <w:t>110.970，21.381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20" w:type="pct"/>
                  <w:vMerge w:val="restart"/>
                  <w:tcBorders>
                    <w:right w:val="single" w:color="auto" w:sz="4" w:space="0"/>
                  </w:tcBorders>
                  <w:vAlign w:val="center"/>
                </w:tcPr>
                <w:p>
                  <w:pPr>
                    <w:adjustRightInd/>
                    <w:snapToGrid/>
                    <w:spacing w:line="240" w:lineRule="auto"/>
                    <w:ind w:firstLine="0" w:firstLineChars="0"/>
                    <w:jc w:val="center"/>
                    <w:rPr>
                      <w:sz w:val="21"/>
                      <w:szCs w:val="21"/>
                    </w:rPr>
                  </w:pPr>
                  <w:r>
                    <w:rPr>
                      <w:sz w:val="21"/>
                      <w:szCs w:val="21"/>
                    </w:rPr>
                    <w:t>监测时间</w:t>
                  </w:r>
                </w:p>
              </w:tc>
              <w:tc>
                <w:tcPr>
                  <w:tcW w:w="1421" w:type="pct"/>
                  <w:tcBorders>
                    <w:left w:val="single" w:color="auto" w:sz="4" w:space="0"/>
                    <w:right w:val="single" w:color="auto" w:sz="4" w:space="0"/>
                  </w:tcBorders>
                  <w:vAlign w:val="center"/>
                </w:tcPr>
                <w:p>
                  <w:pPr>
                    <w:adjustRightInd/>
                    <w:snapToGrid/>
                    <w:spacing w:line="240" w:lineRule="auto"/>
                    <w:ind w:firstLine="0" w:firstLineChars="0"/>
                    <w:jc w:val="center"/>
                    <w:rPr>
                      <w:sz w:val="21"/>
                      <w:szCs w:val="21"/>
                    </w:rPr>
                  </w:pPr>
                  <w:r>
                    <w:rPr>
                      <w:sz w:val="21"/>
                      <w:szCs w:val="21"/>
                    </w:rPr>
                    <w:t>春季</w:t>
                  </w:r>
                </w:p>
              </w:tc>
              <w:tc>
                <w:tcPr>
                  <w:tcW w:w="1292" w:type="pct"/>
                  <w:tcBorders>
                    <w:left w:val="single" w:color="auto" w:sz="4" w:space="0"/>
                    <w:right w:val="single" w:color="auto" w:sz="4" w:space="0"/>
                  </w:tcBorders>
                  <w:vAlign w:val="center"/>
                </w:tcPr>
                <w:p>
                  <w:pPr>
                    <w:adjustRightInd/>
                    <w:snapToGrid/>
                    <w:spacing w:line="240" w:lineRule="auto"/>
                    <w:ind w:firstLine="0" w:firstLineChars="0"/>
                    <w:jc w:val="center"/>
                    <w:rPr>
                      <w:sz w:val="21"/>
                      <w:szCs w:val="21"/>
                    </w:rPr>
                  </w:pPr>
                  <w:r>
                    <w:rPr>
                      <w:sz w:val="21"/>
                      <w:szCs w:val="21"/>
                    </w:rPr>
                    <w:t>夏季</w:t>
                  </w:r>
                </w:p>
              </w:tc>
              <w:tc>
                <w:tcPr>
                  <w:tcW w:w="1067" w:type="pct"/>
                  <w:tcBorders>
                    <w:left w:val="single" w:color="auto" w:sz="4" w:space="0"/>
                  </w:tcBorders>
                  <w:vAlign w:val="center"/>
                </w:tcPr>
                <w:p>
                  <w:pPr>
                    <w:adjustRightInd/>
                    <w:snapToGrid/>
                    <w:spacing w:line="240" w:lineRule="auto"/>
                    <w:ind w:firstLine="0" w:firstLineChars="0"/>
                    <w:jc w:val="center"/>
                    <w:rPr>
                      <w:sz w:val="21"/>
                      <w:szCs w:val="21"/>
                    </w:rPr>
                  </w:pPr>
                  <w:r>
                    <w:rPr>
                      <w:sz w:val="21"/>
                      <w:szCs w:val="21"/>
                    </w:rPr>
                    <w:t>秋季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vMerge w:val="continue"/>
                  <w:tcBorders>
                    <w:right w:val="single" w:color="auto" w:sz="4" w:space="0"/>
                  </w:tcBorders>
                  <w:vAlign w:val="center"/>
                </w:tcPr>
                <w:p>
                  <w:pPr>
                    <w:adjustRightInd/>
                    <w:snapToGrid/>
                    <w:spacing w:line="240" w:lineRule="auto"/>
                    <w:ind w:firstLine="0" w:firstLineChars="0"/>
                    <w:jc w:val="center"/>
                    <w:rPr>
                      <w:sz w:val="21"/>
                      <w:szCs w:val="21"/>
                    </w:rPr>
                  </w:pPr>
                </w:p>
              </w:tc>
              <w:tc>
                <w:tcPr>
                  <w:tcW w:w="1421" w:type="pct"/>
                  <w:tcBorders>
                    <w:left w:val="single" w:color="auto" w:sz="4" w:space="0"/>
                    <w:right w:val="single" w:color="auto" w:sz="4" w:space="0"/>
                  </w:tcBorders>
                  <w:vAlign w:val="center"/>
                </w:tcPr>
                <w:p>
                  <w:pPr>
                    <w:adjustRightInd/>
                    <w:snapToGrid/>
                    <w:spacing w:line="240" w:lineRule="auto"/>
                    <w:ind w:firstLine="0" w:firstLineChars="0"/>
                    <w:jc w:val="center"/>
                    <w:rPr>
                      <w:sz w:val="21"/>
                      <w:szCs w:val="21"/>
                    </w:rPr>
                  </w:pPr>
                  <w:r>
                    <w:rPr>
                      <w:sz w:val="21"/>
                      <w:szCs w:val="21"/>
                    </w:rPr>
                    <w:t>2021.4.30</w:t>
                  </w:r>
                </w:p>
              </w:tc>
              <w:tc>
                <w:tcPr>
                  <w:tcW w:w="1292" w:type="pct"/>
                  <w:tcBorders>
                    <w:left w:val="single" w:color="auto" w:sz="4" w:space="0"/>
                    <w:right w:val="single" w:color="auto" w:sz="4" w:space="0"/>
                  </w:tcBorders>
                  <w:vAlign w:val="center"/>
                </w:tcPr>
                <w:p>
                  <w:pPr>
                    <w:adjustRightInd/>
                    <w:snapToGrid/>
                    <w:spacing w:line="240" w:lineRule="auto"/>
                    <w:ind w:firstLine="0" w:firstLineChars="0"/>
                    <w:jc w:val="center"/>
                    <w:rPr>
                      <w:sz w:val="21"/>
                      <w:szCs w:val="21"/>
                    </w:rPr>
                  </w:pPr>
                  <w:r>
                    <w:rPr>
                      <w:sz w:val="21"/>
                      <w:szCs w:val="21"/>
                    </w:rPr>
                    <w:t>2021.7.12</w:t>
                  </w:r>
                </w:p>
              </w:tc>
              <w:tc>
                <w:tcPr>
                  <w:tcW w:w="1067" w:type="pct"/>
                  <w:tcBorders>
                    <w:left w:val="single" w:color="auto" w:sz="4" w:space="0"/>
                  </w:tcBorders>
                  <w:vAlign w:val="center"/>
                </w:tcPr>
                <w:p>
                  <w:pPr>
                    <w:adjustRightInd/>
                    <w:snapToGrid/>
                    <w:spacing w:line="240" w:lineRule="auto"/>
                    <w:ind w:firstLine="0" w:firstLineChars="0"/>
                    <w:jc w:val="center"/>
                    <w:rPr>
                      <w:sz w:val="21"/>
                      <w:szCs w:val="21"/>
                    </w:rPr>
                  </w:pPr>
                  <w:r>
                    <w:rPr>
                      <w:sz w:val="21"/>
                      <w:szCs w:val="21"/>
                    </w:rPr>
                    <w:t>2021.10.24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tcBorders>
                    <w:right w:val="single" w:color="auto" w:sz="4" w:space="0"/>
                  </w:tcBorders>
                  <w:vAlign w:val="center"/>
                </w:tcPr>
                <w:p>
                  <w:pPr>
                    <w:adjustRightInd/>
                    <w:snapToGrid/>
                    <w:spacing w:line="240" w:lineRule="auto"/>
                    <w:ind w:firstLine="0" w:firstLineChars="0"/>
                    <w:jc w:val="center"/>
                    <w:rPr>
                      <w:sz w:val="21"/>
                      <w:szCs w:val="21"/>
                    </w:rPr>
                  </w:pPr>
                  <w:r>
                    <w:rPr>
                      <w:sz w:val="21"/>
                      <w:szCs w:val="21"/>
                    </w:rPr>
                    <w:t>监测因子</w:t>
                  </w:r>
                </w:p>
              </w:tc>
              <w:tc>
                <w:tcPr>
                  <w:tcW w:w="3780" w:type="pct"/>
                  <w:gridSpan w:val="3"/>
                  <w:tcBorders>
                    <w:left w:val="single" w:color="auto" w:sz="4" w:space="0"/>
                  </w:tcBorders>
                  <w:vAlign w:val="center"/>
                </w:tcPr>
                <w:p>
                  <w:pPr>
                    <w:adjustRightInd/>
                    <w:snapToGrid/>
                    <w:spacing w:line="240" w:lineRule="auto"/>
                    <w:ind w:firstLine="0" w:firstLineChars="0"/>
                    <w:jc w:val="center"/>
                    <w:rPr>
                      <w:sz w:val="21"/>
                      <w:szCs w:val="21"/>
                    </w:rPr>
                  </w:pPr>
                  <w:r>
                    <w:rPr>
                      <w:sz w:val="21"/>
                      <w:szCs w:val="21"/>
                    </w:rPr>
                    <w:t>悬浮物、pH、溶解氧、化学需氧量、氨氮、活性磷酸盐、石油类、总氮、总磷、铜、锌、总铬、汞、镉、铅、砷</w:t>
                  </w:r>
                </w:p>
              </w:tc>
            </w:tr>
          </w:tbl>
          <w:p>
            <w:pPr>
              <w:pStyle w:val="55"/>
            </w:pPr>
          </w:p>
          <w:p>
            <w:pPr>
              <w:pStyle w:val="55"/>
              <w:rPr>
                <w:rFonts w:ascii="宋体" w:hAnsi="宋体" w:cs="宋体"/>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ascii="宋体" w:hAnsi="宋体" w:cs="宋体"/>
              </w:rPr>
              <w:t>澳内海工业排污渠海水监测结果汇总表（</w:t>
            </w:r>
            <w:r>
              <w:rPr>
                <w:rFonts w:ascii="宋体" w:hAnsi="宋体" w:cs="宋体"/>
              </w:rPr>
              <w:t>2021年）</w:t>
            </w:r>
          </w:p>
          <w:p>
            <w:pPr>
              <w:pStyle w:val="55"/>
              <w:rPr>
                <w:rFonts w:ascii="宋体" w:hAnsi="宋体" w:cs="宋体"/>
              </w:rPr>
            </w:pPr>
            <w:r>
              <w:rPr>
                <w:rFonts w:hint="eastAsia" w:ascii="宋体" w:hAnsi="宋体" w:cs="宋体"/>
              </w:rPr>
              <w:t>（单位：</w:t>
            </w:r>
            <w:r>
              <w:rPr>
                <w:rFonts w:ascii="宋体" w:hAnsi="宋体" w:cs="宋体"/>
              </w:rPr>
              <w:t>mg/L，pH值无量纲）</w:t>
            </w:r>
          </w:p>
          <w:tbl>
            <w:tblPr>
              <w:tblStyle w:val="36"/>
              <w:tblW w:w="4998" w:type="pct"/>
              <w:jc w:val="center"/>
              <w:tblLayout w:type="autofit"/>
              <w:tblCellMar>
                <w:top w:w="0" w:type="dxa"/>
                <w:left w:w="10" w:type="dxa"/>
                <w:bottom w:w="0" w:type="dxa"/>
                <w:right w:w="10" w:type="dxa"/>
              </w:tblCellMar>
            </w:tblPr>
            <w:tblGrid>
              <w:gridCol w:w="1301"/>
              <w:gridCol w:w="916"/>
              <w:gridCol w:w="808"/>
              <w:gridCol w:w="1063"/>
              <w:gridCol w:w="887"/>
              <w:gridCol w:w="890"/>
              <w:gridCol w:w="829"/>
              <w:gridCol w:w="959"/>
            </w:tblGrid>
            <w:tr>
              <w:tblPrEx>
                <w:tblCellMar>
                  <w:top w:w="0" w:type="dxa"/>
                  <w:left w:w="10" w:type="dxa"/>
                  <w:bottom w:w="0" w:type="dxa"/>
                  <w:right w:w="10" w:type="dxa"/>
                </w:tblCellMar>
              </w:tblPrEx>
              <w:trPr>
                <w:trHeight w:val="340" w:hRule="atLeast"/>
                <w:jc w:val="center"/>
              </w:trPr>
              <w:tc>
                <w:tcPr>
                  <w:tcW w:w="855"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监测项目</w:t>
                  </w:r>
                </w:p>
              </w:tc>
              <w:tc>
                <w:tcPr>
                  <w:tcW w:w="1097"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春季</w:t>
                  </w:r>
                </w:p>
              </w:tc>
              <w:tc>
                <w:tcPr>
                  <w:tcW w:w="1285"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夏季</w:t>
                  </w:r>
                </w:p>
              </w:tc>
              <w:tc>
                <w:tcPr>
                  <w:tcW w:w="113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秋季</w:t>
                  </w:r>
                </w:p>
              </w:tc>
              <w:tc>
                <w:tcPr>
                  <w:tcW w:w="631"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标准值</w:t>
                  </w:r>
                </w:p>
              </w:tc>
            </w:tr>
            <w:tr>
              <w:tblPrEx>
                <w:tblCellMar>
                  <w:top w:w="0" w:type="dxa"/>
                  <w:left w:w="10" w:type="dxa"/>
                  <w:bottom w:w="0" w:type="dxa"/>
                  <w:right w:w="10" w:type="dxa"/>
                </w:tblCellMar>
              </w:tblPrEx>
              <w:trPr>
                <w:trHeight w:val="340" w:hRule="atLeast"/>
                <w:jc w:val="center"/>
              </w:trPr>
              <w:tc>
                <w:tcPr>
                  <w:tcW w:w="855"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ind w:firstLine="420"/>
                    <w:jc w:val="center"/>
                    <w:rPr>
                      <w:sz w:val="21"/>
                      <w:szCs w:val="21"/>
                    </w:rPr>
                  </w:pP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浓度</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指数</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浓度</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指数</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浓度</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指数</w:t>
                  </w:r>
                </w:p>
              </w:tc>
              <w:tc>
                <w:tcPr>
                  <w:tcW w:w="631"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ind w:firstLine="420"/>
                    <w:jc w:val="center"/>
                    <w:rPr>
                      <w:sz w:val="21"/>
                      <w:szCs w:val="21"/>
                    </w:rPr>
                  </w:pPr>
                </w:p>
              </w:tc>
            </w:tr>
            <w:tr>
              <w:tblPrEx>
                <w:tblCellMar>
                  <w:top w:w="0" w:type="dxa"/>
                  <w:left w:w="10" w:type="dxa"/>
                  <w:bottom w:w="0" w:type="dxa"/>
                  <w:right w:w="10" w:type="dxa"/>
                </w:tblCellMar>
              </w:tblPrEx>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pPr>
                  <w:r>
                    <w:rPr>
                      <w:rFonts w:hint="eastAsia"/>
                      <w:lang w:eastAsia="zh-CN"/>
                    </w:rPr>
                    <w:t>pH</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lang w:eastAsia="zh-CN"/>
                    </w:rPr>
                  </w:pPr>
                  <w:r>
                    <w:rPr>
                      <w:rFonts w:eastAsia="等线"/>
                      <w:sz w:val="20"/>
                      <w:szCs w:val="20"/>
                    </w:rPr>
                    <w:t>8.12</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lang w:eastAsia="zh-CN"/>
                    </w:rPr>
                  </w:pPr>
                  <w:r>
                    <w:rPr>
                      <w:rFonts w:hint="eastAsia"/>
                    </w:rPr>
                    <w:t>0.21</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lang w:eastAsia="zh-CN"/>
                    </w:rPr>
                  </w:pPr>
                  <w:r>
                    <w:t>8.18</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lang w:eastAsia="zh-CN"/>
                    </w:rPr>
                  </w:pPr>
                  <w:r>
                    <w:rPr>
                      <w:rFonts w:hint="eastAsia"/>
                    </w:rPr>
                    <w:t>0.565</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lang w:eastAsia="zh-CN"/>
                    </w:rPr>
                  </w:pPr>
                  <w:r>
                    <w:t>8.13</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lang w:eastAsia="zh-CN"/>
                    </w:rPr>
                  </w:pPr>
                  <w:r>
                    <w:rPr>
                      <w:rFonts w:hint="eastAsia"/>
                    </w:rPr>
                    <w:t>0.3625</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lang w:eastAsia="zh-CN"/>
                    </w:rPr>
                  </w:pPr>
                  <w:r>
                    <w:rPr>
                      <w:rFonts w:hint="eastAsia"/>
                      <w:lang w:eastAsia="zh-CN"/>
                    </w:rPr>
                    <w:t>/</w:t>
                  </w:r>
                </w:p>
              </w:tc>
            </w:tr>
            <w:tr>
              <w:tblPrEx>
                <w:tblCellMar>
                  <w:top w:w="0" w:type="dxa"/>
                  <w:left w:w="10" w:type="dxa"/>
                  <w:bottom w:w="0" w:type="dxa"/>
                  <w:right w:w="10" w:type="dxa"/>
                </w:tblCellMar>
              </w:tblPrEx>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无机氮（</w:t>
                  </w:r>
                  <w:r>
                    <w:rPr>
                      <w:rFonts w:eastAsia="等线"/>
                    </w:rPr>
                    <w:t>mg/L</w:t>
                  </w:r>
                  <w:r>
                    <w:rPr>
                      <w:rFonts w:hint="eastAsia"/>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eastAsia="等线"/>
                      <w:sz w:val="20"/>
                      <w:szCs w:val="20"/>
                    </w:rPr>
                    <w:t>0.084</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0.1</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0.226</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0.105</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0.145</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0.198333</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0.4</w:t>
                  </w:r>
                </w:p>
              </w:tc>
            </w:tr>
            <w:tr>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lang w:eastAsia="zh-CN"/>
                    </w:rPr>
                    <w:t>活性磷酸盐（</w:t>
                  </w:r>
                  <w:r>
                    <w:rPr>
                      <w:rFonts w:eastAsia="等线"/>
                      <w:lang w:eastAsia="zh-CN"/>
                    </w:rPr>
                    <w:t>mg/L</w:t>
                  </w:r>
                  <w:r>
                    <w:rPr>
                      <w:rFonts w:hint="eastAsia"/>
                      <w:lang w:eastAsia="zh-CN"/>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eastAsia="等线"/>
                      <w:sz w:val="20"/>
                      <w:szCs w:val="20"/>
                    </w:rPr>
                    <w:t>0.003</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0.023333</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0.003</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0.126667</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0.006</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0.006667</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0.03</w:t>
                  </w:r>
                </w:p>
              </w:tc>
            </w:tr>
            <w:tr>
              <w:tblPrEx>
                <w:tblCellMar>
                  <w:top w:w="0" w:type="dxa"/>
                  <w:left w:w="10" w:type="dxa"/>
                  <w:bottom w:w="0" w:type="dxa"/>
                  <w:right w:w="10" w:type="dxa"/>
                </w:tblCellMar>
              </w:tblPrEx>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石油类（</w:t>
                  </w:r>
                  <w:r>
                    <w:rPr>
                      <w:rFonts w:eastAsia="等线"/>
                    </w:rPr>
                    <w:t>mg/L</w:t>
                  </w:r>
                  <w:r>
                    <w:rPr>
                      <w:rFonts w:hint="eastAsia"/>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eastAsia="等线"/>
                      <w:sz w:val="20"/>
                      <w:szCs w:val="20"/>
                    </w:rPr>
                    <w:t>0.007</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1.9175</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0.038</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1.5625</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0.002</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1.6575</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0.3</w:t>
                  </w:r>
                </w:p>
              </w:tc>
            </w:tr>
            <w:tr>
              <w:tblPrEx>
                <w:tblCellMar>
                  <w:top w:w="0" w:type="dxa"/>
                  <w:left w:w="10" w:type="dxa"/>
                  <w:bottom w:w="0" w:type="dxa"/>
                  <w:right w:w="10" w:type="dxa"/>
                </w:tblCellMar>
              </w:tblPrEx>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溶解氧（</w:t>
                  </w:r>
                  <w:r>
                    <w:rPr>
                      <w:rFonts w:eastAsia="等线"/>
                    </w:rPr>
                    <w:t>mg/L</w:t>
                  </w:r>
                  <w:r>
                    <w:rPr>
                      <w:rFonts w:hint="eastAsia"/>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eastAsia="等线"/>
                      <w:sz w:val="20"/>
                      <w:szCs w:val="20"/>
                    </w:rPr>
                    <w:t>7.67</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0.2</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6.25</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0.26</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6.63</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0.23125</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&gt;4</w:t>
                  </w:r>
                </w:p>
              </w:tc>
            </w:tr>
            <w:tr>
              <w:tblPrEx>
                <w:tblCellMar>
                  <w:top w:w="0" w:type="dxa"/>
                  <w:left w:w="10" w:type="dxa"/>
                  <w:bottom w:w="0" w:type="dxa"/>
                  <w:right w:w="10" w:type="dxa"/>
                </w:tblCellMar>
              </w:tblPrEx>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lang w:eastAsia="zh-CN"/>
                    </w:rPr>
                    <w:t>化学需氧量（</w:t>
                  </w:r>
                  <w:r>
                    <w:rPr>
                      <w:rFonts w:eastAsia="等线"/>
                      <w:lang w:eastAsia="zh-CN"/>
                    </w:rPr>
                    <w:t>mg/L</w:t>
                  </w:r>
                  <w:r>
                    <w:rPr>
                      <w:rFonts w:hint="eastAsia"/>
                      <w:lang w:eastAsia="zh-CN"/>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eastAsia="等线"/>
                      <w:sz w:val="20"/>
                      <w:szCs w:val="20"/>
                    </w:rPr>
                    <w:t>0.80</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0.21</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1.04</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0.011</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0.93</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0.3625</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&lt;4</w:t>
                  </w:r>
                </w:p>
              </w:tc>
            </w:tr>
            <w:tr>
              <w:tblPrEx>
                <w:tblCellMar>
                  <w:top w:w="0" w:type="dxa"/>
                  <w:left w:w="10" w:type="dxa"/>
                  <w:bottom w:w="0" w:type="dxa"/>
                  <w:right w:w="10" w:type="dxa"/>
                </w:tblCellMar>
              </w:tblPrEx>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铜（</w:t>
                  </w:r>
                  <w:r>
                    <w:rPr>
                      <w:rFonts w:eastAsia="等线"/>
                    </w:rPr>
                    <w:t>mg/L</w:t>
                  </w:r>
                  <w:r>
                    <w:rPr>
                      <w:rFonts w:hint="eastAsia"/>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0.00055</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0.06</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0.05</w:t>
                  </w:r>
                </w:p>
              </w:tc>
            </w:tr>
            <w:tr>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汞（</w:t>
                  </w:r>
                  <w:r>
                    <w:rPr>
                      <w:rFonts w:eastAsia="等线"/>
                    </w:rPr>
                    <w:t>mg/L</w:t>
                  </w:r>
                  <w:r>
                    <w:rPr>
                      <w:rFonts w:hint="eastAsia"/>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0.000012</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0.0005</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0.0002</w:t>
                  </w:r>
                </w:p>
              </w:tc>
            </w:tr>
            <w:tr>
              <w:tblPrEx>
                <w:tblCellMar>
                  <w:top w:w="0" w:type="dxa"/>
                  <w:left w:w="10" w:type="dxa"/>
                  <w:bottom w:w="0" w:type="dxa"/>
                  <w:right w:w="10" w:type="dxa"/>
                </w:tblCellMar>
              </w:tblPrEx>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镉（</w:t>
                  </w:r>
                  <w:r>
                    <w:rPr>
                      <w:rFonts w:eastAsia="等线"/>
                    </w:rPr>
                    <w:t>mg/L</w:t>
                  </w:r>
                  <w:r>
                    <w:rPr>
                      <w:rFonts w:hint="eastAsia"/>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0.000005</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0.069</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0.01</w:t>
                  </w:r>
                </w:p>
              </w:tc>
            </w:tr>
            <w:tr>
              <w:tblPrEx>
                <w:tblCellMar>
                  <w:top w:w="0" w:type="dxa"/>
                  <w:left w:w="10" w:type="dxa"/>
                  <w:bottom w:w="0" w:type="dxa"/>
                  <w:right w:w="10" w:type="dxa"/>
                </w:tblCellMar>
              </w:tblPrEx>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铅（</w:t>
                  </w:r>
                  <w:r>
                    <w:rPr>
                      <w:rFonts w:eastAsia="等线"/>
                    </w:rPr>
                    <w:t>mg/L</w:t>
                  </w:r>
                  <w:r>
                    <w:rPr>
                      <w:rFonts w:hint="eastAsia"/>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0.00069</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0.565</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0.01</w:t>
                  </w:r>
                </w:p>
              </w:tc>
            </w:tr>
            <w:tr>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总氮（</w:t>
                  </w:r>
                  <w:r>
                    <w:rPr>
                      <w:rFonts w:eastAsia="等线"/>
                    </w:rPr>
                    <w:t>mg/L</w:t>
                  </w:r>
                  <w:r>
                    <w:rPr>
                      <w:rFonts w:hint="eastAsia"/>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0.3480</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w:t>
                  </w:r>
                </w:p>
              </w:tc>
            </w:tr>
            <w:tr>
              <w:tblPrEx>
                <w:tblCellMar>
                  <w:top w:w="0" w:type="dxa"/>
                  <w:left w:w="10" w:type="dxa"/>
                  <w:bottom w:w="0" w:type="dxa"/>
                  <w:right w:w="10" w:type="dxa"/>
                </w:tblCellMar>
              </w:tblPrEx>
              <w:trPr>
                <w:trHeight w:val="340" w:hRule="atLeast"/>
                <w:jc w:val="center"/>
              </w:trPr>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rPr>
                    <w:t>总磷（</w:t>
                  </w:r>
                  <w:r>
                    <w:rPr>
                      <w:rFonts w:eastAsia="等线"/>
                    </w:rPr>
                    <w:t>mg/L</w:t>
                  </w:r>
                  <w:r>
                    <w:rPr>
                      <w:rFonts w:hint="eastAsia"/>
                    </w:rPr>
                    <w:t>）</w:t>
                  </w:r>
                </w:p>
              </w:tc>
              <w:tc>
                <w:tcPr>
                  <w:tcW w:w="60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49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70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t>0.0322</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5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56"/>
                    <w:rPr>
                      <w:szCs w:val="21"/>
                      <w:lang w:eastAsia="zh-CN"/>
                    </w:rPr>
                  </w:pPr>
                  <w:r>
                    <w:rPr>
                      <w:rFonts w:hint="eastAsia"/>
                      <w:szCs w:val="21"/>
                      <w:lang w:eastAsia="zh-CN"/>
                    </w:rPr>
                    <w:t>/</w:t>
                  </w:r>
                </w:p>
              </w:tc>
              <w:tc>
                <w:tcPr>
                  <w:tcW w:w="54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hint="eastAsia"/>
                      <w:color w:val="auto"/>
                      <w:szCs w:val="21"/>
                      <w:lang w:eastAsia="zh-CN"/>
                    </w:rPr>
                    <w:t>/</w:t>
                  </w:r>
                </w:p>
              </w:tc>
              <w:tc>
                <w:tcPr>
                  <w:tcW w:w="63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2"/>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w:t>
                  </w:r>
                </w:p>
              </w:tc>
            </w:tr>
          </w:tbl>
          <w:p>
            <w:pPr>
              <w:tabs>
                <w:tab w:val="left" w:pos="-120"/>
              </w:tabs>
              <w:ind w:firstLine="480"/>
              <w:rPr>
                <w:rFonts w:ascii="宋体" w:hAnsi="宋体" w:cs="宋体"/>
              </w:rPr>
            </w:pPr>
            <w:r>
              <w:rPr>
                <w:rFonts w:hint="eastAsia" w:ascii="宋体" w:hAnsi="宋体" w:cs="宋体"/>
              </w:rPr>
              <w:t>澳内海排污功能区执行《海水水质标准》</w:t>
            </w:r>
            <w:r>
              <w:rPr>
                <w:rFonts w:ascii="宋体" w:hAnsi="宋体" w:cs="宋体"/>
              </w:rPr>
              <w:t>(GB3097-1997)第三类标准，根据近岸海域点位监测结果</w:t>
            </w:r>
            <w:r>
              <w:rPr>
                <w:rFonts w:hint="eastAsia" w:ascii="宋体" w:hAnsi="宋体" w:cs="宋体"/>
              </w:rPr>
              <w:t>可知，各监测因子均达到《海水水质标准》</w:t>
            </w:r>
            <w:r>
              <w:rPr>
                <w:rFonts w:ascii="宋体" w:hAnsi="宋体" w:cs="宋体"/>
              </w:rPr>
              <w:t>(GB3097-1997)第三类标准</w:t>
            </w:r>
            <w:r>
              <w:rPr>
                <w:rFonts w:hint="eastAsia" w:ascii="宋体" w:hAnsi="宋体" w:cs="宋体"/>
              </w:rPr>
              <w:t>要求。</w:t>
            </w:r>
          </w:p>
          <w:p>
            <w:pPr>
              <w:pStyle w:val="3"/>
              <w:rPr>
                <w:lang w:eastAsia="zh-CN"/>
              </w:rPr>
            </w:pPr>
            <w:bookmarkStart w:id="82" w:name="_Toc120889807"/>
            <w:bookmarkStart w:id="83" w:name="_Toc121147736"/>
            <w:bookmarkStart w:id="84" w:name="_Toc122338504"/>
            <w:r>
              <w:rPr>
                <w:rFonts w:hint="eastAsia"/>
                <w:lang w:eastAsia="zh-CN"/>
              </w:rPr>
              <w:t>声环境质量现状调查</w:t>
            </w:r>
            <w:bookmarkEnd w:id="82"/>
            <w:bookmarkEnd w:id="83"/>
            <w:bookmarkEnd w:id="84"/>
          </w:p>
          <w:p>
            <w:pPr>
              <w:ind w:firstLine="480"/>
            </w:pPr>
            <w:r>
              <w:rPr>
                <w:rFonts w:hint="eastAsia"/>
                <w:lang w:val="zh-CN"/>
              </w:rPr>
              <w:t>本项目位于茂名高新技术产业开发区恒基路99号，所在区域执行国家</w:t>
            </w:r>
            <w:r>
              <w:rPr>
                <w:szCs w:val="20"/>
              </w:rPr>
              <w:t>《声环境质量标准》（GB3096-2008）的3类标准，即昼间≤65dB(A)、夜间≤55dB(A)</w:t>
            </w:r>
            <w:r>
              <w:rPr>
                <w:rFonts w:hint="eastAsia" w:ascii="宋体" w:hAnsi="宋体" w:cs="宋体"/>
                <w:bCs/>
                <w:szCs w:val="21"/>
              </w:rPr>
              <w:t>。本次环评委托</w:t>
            </w:r>
            <w:r>
              <w:rPr>
                <w:spacing w:val="-4"/>
              </w:rPr>
              <w:t>广东众惠环境检测有限公司</w:t>
            </w:r>
            <w:r>
              <w:t>于2022年06月18日</w:t>
            </w:r>
            <w:r>
              <w:rPr>
                <w:rFonts w:hint="eastAsia"/>
              </w:rPr>
              <w:t>~</w:t>
            </w:r>
            <w:r>
              <w:t>2022</w:t>
            </w:r>
            <w:r>
              <w:rPr>
                <w:rFonts w:hint="eastAsia"/>
              </w:rPr>
              <w:t>年0</w:t>
            </w:r>
            <w:r>
              <w:t>6月19日对项目所在地东、南、西、北厂界外1米处及周边敏感点进行噪声监测，监测点和监测结果</w:t>
            </w:r>
            <w:r>
              <w:rPr>
                <w:rFonts w:hint="eastAsia"/>
              </w:rPr>
              <w:t>见</w:t>
            </w:r>
            <w:r>
              <w:t>下</w:t>
            </w:r>
            <w:r>
              <w:rPr>
                <w:rFonts w:hint="eastAsia"/>
              </w:rPr>
              <w:t>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环境噪声监测结果</w:t>
            </w:r>
          </w:p>
          <w:tbl>
            <w:tblPr>
              <w:tblStyle w:val="36"/>
              <w:tblW w:w="5000" w:type="pct"/>
              <w:tblInd w:w="0" w:type="dxa"/>
              <w:tblLayout w:type="autofit"/>
              <w:tblCellMar>
                <w:top w:w="0" w:type="dxa"/>
                <w:left w:w="108" w:type="dxa"/>
                <w:bottom w:w="0" w:type="dxa"/>
                <w:right w:w="108" w:type="dxa"/>
              </w:tblCellMar>
            </w:tblPr>
            <w:tblGrid>
              <w:gridCol w:w="2183"/>
              <w:gridCol w:w="1491"/>
              <w:gridCol w:w="995"/>
              <w:gridCol w:w="1522"/>
              <w:gridCol w:w="1465"/>
            </w:tblGrid>
            <w:tr>
              <w:tblPrEx>
                <w:tblCellMar>
                  <w:top w:w="0" w:type="dxa"/>
                  <w:left w:w="108" w:type="dxa"/>
                  <w:bottom w:w="0" w:type="dxa"/>
                  <w:right w:w="108" w:type="dxa"/>
                </w:tblCellMar>
              </w:tblPrEx>
              <w:trPr>
                <w:trHeight w:val="20" w:hRule="atLeast"/>
              </w:trPr>
              <w:tc>
                <w:tcPr>
                  <w:tcW w:w="14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6"/>
                  </w:pPr>
                  <w:r>
                    <w:rPr>
                      <w:rFonts w:hint="eastAsia"/>
                    </w:rPr>
                    <w:t>检测点位编号</w:t>
                  </w:r>
                </w:p>
              </w:tc>
              <w:tc>
                <w:tcPr>
                  <w:tcW w:w="1624" w:type="pct"/>
                  <w:gridSpan w:val="2"/>
                  <w:tcBorders>
                    <w:top w:val="single" w:color="auto" w:sz="4" w:space="0"/>
                    <w:left w:val="nil"/>
                    <w:bottom w:val="single" w:color="auto" w:sz="4" w:space="0"/>
                    <w:right w:val="single" w:color="auto" w:sz="4" w:space="0"/>
                  </w:tcBorders>
                  <w:shd w:val="clear" w:color="auto" w:fill="auto"/>
                  <w:vAlign w:val="center"/>
                </w:tcPr>
                <w:p>
                  <w:pPr>
                    <w:pStyle w:val="56"/>
                  </w:pPr>
                  <w:r>
                    <w:rPr>
                      <w:rFonts w:hint="eastAsia"/>
                    </w:rPr>
                    <w:t>2022-06-18</w:t>
                  </w:r>
                </w:p>
              </w:tc>
              <w:tc>
                <w:tcPr>
                  <w:tcW w:w="1950" w:type="pct"/>
                  <w:gridSpan w:val="2"/>
                  <w:tcBorders>
                    <w:top w:val="single" w:color="auto" w:sz="4" w:space="0"/>
                    <w:left w:val="nil"/>
                    <w:bottom w:val="single" w:color="auto" w:sz="4" w:space="0"/>
                    <w:right w:val="single" w:color="auto" w:sz="4" w:space="0"/>
                  </w:tcBorders>
                  <w:shd w:val="clear" w:color="auto" w:fill="auto"/>
                  <w:vAlign w:val="center"/>
                </w:tcPr>
                <w:p>
                  <w:pPr>
                    <w:pStyle w:val="56"/>
                  </w:pPr>
                  <w:r>
                    <w:rPr>
                      <w:rFonts w:hint="eastAsia"/>
                    </w:rPr>
                    <w:t>2022-06-19</w:t>
                  </w:r>
                </w:p>
              </w:tc>
            </w:tr>
            <w:tr>
              <w:tblPrEx>
                <w:tblCellMar>
                  <w:top w:w="0" w:type="dxa"/>
                  <w:left w:w="108" w:type="dxa"/>
                  <w:bottom w:w="0" w:type="dxa"/>
                  <w:right w:w="108" w:type="dxa"/>
                </w:tblCellMar>
              </w:tblPrEx>
              <w:trPr>
                <w:trHeight w:val="20" w:hRule="atLeast"/>
              </w:trPr>
              <w:tc>
                <w:tcPr>
                  <w:tcW w:w="1426" w:type="pct"/>
                  <w:vMerge w:val="continue"/>
                  <w:tcBorders>
                    <w:top w:val="single" w:color="auto" w:sz="4" w:space="0"/>
                    <w:left w:val="single" w:color="auto" w:sz="4" w:space="0"/>
                    <w:bottom w:val="single" w:color="auto" w:sz="4" w:space="0"/>
                    <w:right w:val="single" w:color="auto" w:sz="4" w:space="0"/>
                  </w:tcBorders>
                  <w:vAlign w:val="center"/>
                </w:tcPr>
                <w:p>
                  <w:pPr>
                    <w:pStyle w:val="56"/>
                  </w:pPr>
                </w:p>
              </w:tc>
              <w:tc>
                <w:tcPr>
                  <w:tcW w:w="974" w:type="pct"/>
                  <w:tcBorders>
                    <w:top w:val="nil"/>
                    <w:left w:val="nil"/>
                    <w:bottom w:val="single" w:color="auto" w:sz="4" w:space="0"/>
                    <w:right w:val="single" w:color="auto" w:sz="4" w:space="0"/>
                  </w:tcBorders>
                  <w:shd w:val="clear" w:color="auto" w:fill="auto"/>
                  <w:vAlign w:val="center"/>
                </w:tcPr>
                <w:p>
                  <w:pPr>
                    <w:pStyle w:val="56"/>
                  </w:pPr>
                  <w:r>
                    <w:rPr>
                      <w:rFonts w:hint="eastAsia"/>
                    </w:rPr>
                    <w:t>昼间</w:t>
                  </w:r>
                </w:p>
              </w:tc>
              <w:tc>
                <w:tcPr>
                  <w:tcW w:w="650" w:type="pct"/>
                  <w:tcBorders>
                    <w:top w:val="nil"/>
                    <w:left w:val="nil"/>
                    <w:bottom w:val="single" w:color="auto" w:sz="4" w:space="0"/>
                    <w:right w:val="single" w:color="auto" w:sz="4" w:space="0"/>
                  </w:tcBorders>
                  <w:shd w:val="clear" w:color="auto" w:fill="auto"/>
                  <w:vAlign w:val="center"/>
                </w:tcPr>
                <w:p>
                  <w:pPr>
                    <w:pStyle w:val="56"/>
                  </w:pPr>
                  <w:r>
                    <w:rPr>
                      <w:rFonts w:hint="eastAsia"/>
                    </w:rPr>
                    <w:t>夜间</w:t>
                  </w:r>
                </w:p>
              </w:tc>
              <w:tc>
                <w:tcPr>
                  <w:tcW w:w="994" w:type="pct"/>
                  <w:tcBorders>
                    <w:top w:val="nil"/>
                    <w:left w:val="nil"/>
                    <w:bottom w:val="single" w:color="auto" w:sz="4" w:space="0"/>
                    <w:right w:val="single" w:color="auto" w:sz="4" w:space="0"/>
                  </w:tcBorders>
                  <w:shd w:val="clear" w:color="auto" w:fill="auto"/>
                  <w:vAlign w:val="center"/>
                </w:tcPr>
                <w:p>
                  <w:pPr>
                    <w:pStyle w:val="56"/>
                  </w:pPr>
                  <w:r>
                    <w:rPr>
                      <w:rFonts w:hint="eastAsia"/>
                    </w:rPr>
                    <w:t>昼间</w:t>
                  </w:r>
                </w:p>
              </w:tc>
              <w:tc>
                <w:tcPr>
                  <w:tcW w:w="956" w:type="pct"/>
                  <w:tcBorders>
                    <w:top w:val="nil"/>
                    <w:left w:val="nil"/>
                    <w:bottom w:val="single" w:color="auto" w:sz="4" w:space="0"/>
                    <w:right w:val="single" w:color="auto" w:sz="4" w:space="0"/>
                  </w:tcBorders>
                  <w:shd w:val="clear" w:color="auto" w:fill="auto"/>
                  <w:vAlign w:val="center"/>
                </w:tcPr>
                <w:p>
                  <w:pPr>
                    <w:pStyle w:val="56"/>
                  </w:pPr>
                  <w:r>
                    <w:rPr>
                      <w:rFonts w:hint="eastAsia"/>
                    </w:rPr>
                    <w:t>夜间</w:t>
                  </w:r>
                </w:p>
              </w:tc>
            </w:tr>
            <w:tr>
              <w:tblPrEx>
                <w:tblCellMar>
                  <w:top w:w="0" w:type="dxa"/>
                  <w:left w:w="108" w:type="dxa"/>
                  <w:bottom w:w="0" w:type="dxa"/>
                  <w:right w:w="108" w:type="dxa"/>
                </w:tblCellMar>
              </w:tblPrEx>
              <w:trPr>
                <w:trHeight w:val="20" w:hRule="atLeast"/>
              </w:trPr>
              <w:tc>
                <w:tcPr>
                  <w:tcW w:w="1426" w:type="pct"/>
                  <w:tcBorders>
                    <w:top w:val="single" w:color="auto" w:sz="4" w:space="0"/>
                    <w:left w:val="single" w:color="auto" w:sz="4" w:space="0"/>
                    <w:bottom w:val="single" w:color="auto" w:sz="4" w:space="0"/>
                    <w:right w:val="single" w:color="000000" w:sz="4" w:space="0"/>
                  </w:tcBorders>
                  <w:shd w:val="clear" w:color="auto" w:fill="auto"/>
                  <w:vAlign w:val="center"/>
                </w:tcPr>
                <w:p>
                  <w:pPr>
                    <w:pStyle w:val="56"/>
                  </w:pPr>
                  <w:r>
                    <w:rPr>
                      <w:rFonts w:hint="eastAsia"/>
                    </w:rPr>
                    <w:t>N1 项目东侧边界</w:t>
                  </w:r>
                </w:p>
              </w:tc>
              <w:tc>
                <w:tcPr>
                  <w:tcW w:w="974" w:type="pct"/>
                  <w:tcBorders>
                    <w:top w:val="nil"/>
                    <w:left w:val="nil"/>
                    <w:bottom w:val="single" w:color="auto" w:sz="4" w:space="0"/>
                    <w:right w:val="single" w:color="auto" w:sz="4" w:space="0"/>
                  </w:tcBorders>
                  <w:shd w:val="clear" w:color="auto" w:fill="auto"/>
                  <w:vAlign w:val="center"/>
                </w:tcPr>
                <w:p>
                  <w:pPr>
                    <w:pStyle w:val="56"/>
                  </w:pPr>
                  <w:r>
                    <w:rPr>
                      <w:rFonts w:hint="eastAsia"/>
                    </w:rPr>
                    <w:t>61</w:t>
                  </w:r>
                </w:p>
              </w:tc>
              <w:tc>
                <w:tcPr>
                  <w:tcW w:w="650" w:type="pct"/>
                  <w:tcBorders>
                    <w:top w:val="nil"/>
                    <w:left w:val="nil"/>
                    <w:bottom w:val="single" w:color="auto" w:sz="4" w:space="0"/>
                    <w:right w:val="single" w:color="auto" w:sz="4" w:space="0"/>
                  </w:tcBorders>
                  <w:shd w:val="clear" w:color="auto" w:fill="auto"/>
                  <w:vAlign w:val="center"/>
                </w:tcPr>
                <w:p>
                  <w:pPr>
                    <w:pStyle w:val="56"/>
                  </w:pPr>
                  <w:r>
                    <w:rPr>
                      <w:rFonts w:hint="eastAsia"/>
                    </w:rPr>
                    <w:t>52</w:t>
                  </w:r>
                </w:p>
              </w:tc>
              <w:tc>
                <w:tcPr>
                  <w:tcW w:w="994" w:type="pct"/>
                  <w:tcBorders>
                    <w:top w:val="nil"/>
                    <w:left w:val="nil"/>
                    <w:bottom w:val="single" w:color="auto" w:sz="4" w:space="0"/>
                    <w:right w:val="single" w:color="auto" w:sz="4" w:space="0"/>
                  </w:tcBorders>
                  <w:shd w:val="clear" w:color="auto" w:fill="auto"/>
                  <w:noWrap/>
                  <w:vAlign w:val="center"/>
                </w:tcPr>
                <w:p>
                  <w:pPr>
                    <w:pStyle w:val="56"/>
                  </w:pPr>
                  <w:r>
                    <w:rPr>
                      <w:rFonts w:hint="eastAsia"/>
                    </w:rPr>
                    <w:t>62</w:t>
                  </w:r>
                </w:p>
              </w:tc>
              <w:tc>
                <w:tcPr>
                  <w:tcW w:w="956" w:type="pct"/>
                  <w:tcBorders>
                    <w:top w:val="nil"/>
                    <w:left w:val="nil"/>
                    <w:bottom w:val="single" w:color="auto" w:sz="4" w:space="0"/>
                    <w:right w:val="single" w:color="auto" w:sz="4" w:space="0"/>
                  </w:tcBorders>
                  <w:shd w:val="clear" w:color="auto" w:fill="auto"/>
                  <w:noWrap/>
                  <w:vAlign w:val="center"/>
                </w:tcPr>
                <w:p>
                  <w:pPr>
                    <w:pStyle w:val="56"/>
                  </w:pPr>
                  <w:r>
                    <w:rPr>
                      <w:rFonts w:hint="eastAsia"/>
                    </w:rPr>
                    <w:t>53</w:t>
                  </w:r>
                </w:p>
              </w:tc>
            </w:tr>
            <w:tr>
              <w:tblPrEx>
                <w:tblCellMar>
                  <w:top w:w="0" w:type="dxa"/>
                  <w:left w:w="108" w:type="dxa"/>
                  <w:bottom w:w="0" w:type="dxa"/>
                  <w:right w:w="108" w:type="dxa"/>
                </w:tblCellMar>
              </w:tblPrEx>
              <w:trPr>
                <w:trHeight w:val="20" w:hRule="atLeast"/>
              </w:trPr>
              <w:tc>
                <w:tcPr>
                  <w:tcW w:w="1426" w:type="pct"/>
                  <w:tcBorders>
                    <w:top w:val="single" w:color="auto" w:sz="4" w:space="0"/>
                    <w:left w:val="single" w:color="auto" w:sz="4" w:space="0"/>
                    <w:bottom w:val="single" w:color="auto" w:sz="4" w:space="0"/>
                    <w:right w:val="single" w:color="000000" w:sz="4" w:space="0"/>
                  </w:tcBorders>
                  <w:shd w:val="clear" w:color="auto" w:fill="auto"/>
                  <w:vAlign w:val="center"/>
                </w:tcPr>
                <w:p>
                  <w:pPr>
                    <w:pStyle w:val="56"/>
                  </w:pPr>
                  <w:r>
                    <w:rPr>
                      <w:rFonts w:hint="eastAsia"/>
                    </w:rPr>
                    <w:t>N2 项目南侧边界</w:t>
                  </w:r>
                </w:p>
              </w:tc>
              <w:tc>
                <w:tcPr>
                  <w:tcW w:w="974" w:type="pct"/>
                  <w:tcBorders>
                    <w:top w:val="nil"/>
                    <w:left w:val="nil"/>
                    <w:bottom w:val="single" w:color="auto" w:sz="4" w:space="0"/>
                    <w:right w:val="single" w:color="auto" w:sz="4" w:space="0"/>
                  </w:tcBorders>
                  <w:shd w:val="clear" w:color="auto" w:fill="auto"/>
                  <w:vAlign w:val="center"/>
                </w:tcPr>
                <w:p>
                  <w:pPr>
                    <w:pStyle w:val="56"/>
                  </w:pPr>
                  <w:r>
                    <w:rPr>
                      <w:rFonts w:hint="eastAsia"/>
                    </w:rPr>
                    <w:t>58</w:t>
                  </w:r>
                </w:p>
              </w:tc>
              <w:tc>
                <w:tcPr>
                  <w:tcW w:w="650" w:type="pct"/>
                  <w:tcBorders>
                    <w:top w:val="nil"/>
                    <w:left w:val="nil"/>
                    <w:bottom w:val="single" w:color="auto" w:sz="4" w:space="0"/>
                    <w:right w:val="single" w:color="auto" w:sz="4" w:space="0"/>
                  </w:tcBorders>
                  <w:shd w:val="clear" w:color="auto" w:fill="auto"/>
                  <w:vAlign w:val="center"/>
                </w:tcPr>
                <w:p>
                  <w:pPr>
                    <w:pStyle w:val="56"/>
                  </w:pPr>
                  <w:r>
                    <w:rPr>
                      <w:rFonts w:hint="eastAsia"/>
                    </w:rPr>
                    <w:t>49</w:t>
                  </w:r>
                </w:p>
              </w:tc>
              <w:tc>
                <w:tcPr>
                  <w:tcW w:w="994" w:type="pct"/>
                  <w:tcBorders>
                    <w:top w:val="nil"/>
                    <w:left w:val="nil"/>
                    <w:bottom w:val="single" w:color="auto" w:sz="4" w:space="0"/>
                    <w:right w:val="single" w:color="auto" w:sz="4" w:space="0"/>
                  </w:tcBorders>
                  <w:shd w:val="clear" w:color="auto" w:fill="auto"/>
                  <w:noWrap/>
                  <w:vAlign w:val="center"/>
                </w:tcPr>
                <w:p>
                  <w:pPr>
                    <w:pStyle w:val="56"/>
                  </w:pPr>
                  <w:r>
                    <w:rPr>
                      <w:rFonts w:hint="eastAsia"/>
                    </w:rPr>
                    <w:t>57</w:t>
                  </w:r>
                </w:p>
              </w:tc>
              <w:tc>
                <w:tcPr>
                  <w:tcW w:w="956" w:type="pct"/>
                  <w:tcBorders>
                    <w:top w:val="nil"/>
                    <w:left w:val="nil"/>
                    <w:bottom w:val="single" w:color="auto" w:sz="4" w:space="0"/>
                    <w:right w:val="single" w:color="auto" w:sz="4" w:space="0"/>
                  </w:tcBorders>
                  <w:shd w:val="clear" w:color="auto" w:fill="auto"/>
                  <w:noWrap/>
                  <w:vAlign w:val="center"/>
                </w:tcPr>
                <w:p>
                  <w:pPr>
                    <w:pStyle w:val="56"/>
                  </w:pPr>
                  <w:r>
                    <w:rPr>
                      <w:rFonts w:hint="eastAsia"/>
                    </w:rPr>
                    <w:t>48</w:t>
                  </w:r>
                </w:p>
              </w:tc>
            </w:tr>
            <w:tr>
              <w:tblPrEx>
                <w:tblCellMar>
                  <w:top w:w="0" w:type="dxa"/>
                  <w:left w:w="108" w:type="dxa"/>
                  <w:bottom w:w="0" w:type="dxa"/>
                  <w:right w:w="108" w:type="dxa"/>
                </w:tblCellMar>
              </w:tblPrEx>
              <w:trPr>
                <w:trHeight w:val="20" w:hRule="atLeast"/>
              </w:trPr>
              <w:tc>
                <w:tcPr>
                  <w:tcW w:w="1426" w:type="pct"/>
                  <w:tcBorders>
                    <w:top w:val="single" w:color="auto" w:sz="4" w:space="0"/>
                    <w:left w:val="single" w:color="auto" w:sz="4" w:space="0"/>
                    <w:bottom w:val="single" w:color="auto" w:sz="4" w:space="0"/>
                    <w:right w:val="single" w:color="000000" w:sz="4" w:space="0"/>
                  </w:tcBorders>
                  <w:shd w:val="clear" w:color="auto" w:fill="auto"/>
                  <w:vAlign w:val="center"/>
                </w:tcPr>
                <w:p>
                  <w:pPr>
                    <w:pStyle w:val="56"/>
                  </w:pPr>
                  <w:r>
                    <w:rPr>
                      <w:rFonts w:hint="eastAsia"/>
                    </w:rPr>
                    <w:t>N3 项目西侧边界</w:t>
                  </w:r>
                </w:p>
              </w:tc>
              <w:tc>
                <w:tcPr>
                  <w:tcW w:w="974" w:type="pct"/>
                  <w:tcBorders>
                    <w:top w:val="nil"/>
                    <w:left w:val="nil"/>
                    <w:bottom w:val="single" w:color="auto" w:sz="4" w:space="0"/>
                    <w:right w:val="single" w:color="auto" w:sz="4" w:space="0"/>
                  </w:tcBorders>
                  <w:shd w:val="clear" w:color="auto" w:fill="auto"/>
                  <w:vAlign w:val="center"/>
                </w:tcPr>
                <w:p>
                  <w:pPr>
                    <w:pStyle w:val="56"/>
                  </w:pPr>
                  <w:r>
                    <w:rPr>
                      <w:rFonts w:hint="eastAsia"/>
                    </w:rPr>
                    <w:t>55</w:t>
                  </w:r>
                </w:p>
              </w:tc>
              <w:tc>
                <w:tcPr>
                  <w:tcW w:w="650" w:type="pct"/>
                  <w:tcBorders>
                    <w:top w:val="nil"/>
                    <w:left w:val="nil"/>
                    <w:bottom w:val="single" w:color="auto" w:sz="4" w:space="0"/>
                    <w:right w:val="single" w:color="auto" w:sz="4" w:space="0"/>
                  </w:tcBorders>
                  <w:shd w:val="clear" w:color="auto" w:fill="auto"/>
                  <w:vAlign w:val="center"/>
                </w:tcPr>
                <w:p>
                  <w:pPr>
                    <w:pStyle w:val="56"/>
                  </w:pPr>
                  <w:r>
                    <w:rPr>
                      <w:rFonts w:hint="eastAsia"/>
                    </w:rPr>
                    <w:t>46</w:t>
                  </w:r>
                </w:p>
              </w:tc>
              <w:tc>
                <w:tcPr>
                  <w:tcW w:w="994" w:type="pct"/>
                  <w:tcBorders>
                    <w:top w:val="nil"/>
                    <w:left w:val="nil"/>
                    <w:bottom w:val="single" w:color="auto" w:sz="4" w:space="0"/>
                    <w:right w:val="single" w:color="auto" w:sz="4" w:space="0"/>
                  </w:tcBorders>
                  <w:shd w:val="clear" w:color="auto" w:fill="auto"/>
                  <w:noWrap/>
                  <w:vAlign w:val="center"/>
                </w:tcPr>
                <w:p>
                  <w:pPr>
                    <w:pStyle w:val="56"/>
                  </w:pPr>
                  <w:r>
                    <w:rPr>
                      <w:rFonts w:hint="eastAsia"/>
                    </w:rPr>
                    <w:t>56</w:t>
                  </w:r>
                </w:p>
              </w:tc>
              <w:tc>
                <w:tcPr>
                  <w:tcW w:w="956" w:type="pct"/>
                  <w:tcBorders>
                    <w:top w:val="nil"/>
                    <w:left w:val="nil"/>
                    <w:bottom w:val="single" w:color="auto" w:sz="4" w:space="0"/>
                    <w:right w:val="single" w:color="auto" w:sz="4" w:space="0"/>
                  </w:tcBorders>
                  <w:shd w:val="clear" w:color="auto" w:fill="auto"/>
                  <w:noWrap/>
                  <w:vAlign w:val="center"/>
                </w:tcPr>
                <w:p>
                  <w:pPr>
                    <w:pStyle w:val="56"/>
                  </w:pPr>
                  <w:r>
                    <w:rPr>
                      <w:rFonts w:hint="eastAsia"/>
                    </w:rPr>
                    <w:t>47</w:t>
                  </w:r>
                </w:p>
              </w:tc>
            </w:tr>
            <w:tr>
              <w:tblPrEx>
                <w:tblCellMar>
                  <w:top w:w="0" w:type="dxa"/>
                  <w:left w:w="108" w:type="dxa"/>
                  <w:bottom w:w="0" w:type="dxa"/>
                  <w:right w:w="108" w:type="dxa"/>
                </w:tblCellMar>
              </w:tblPrEx>
              <w:trPr>
                <w:trHeight w:val="20" w:hRule="atLeast"/>
              </w:trPr>
              <w:tc>
                <w:tcPr>
                  <w:tcW w:w="1426" w:type="pct"/>
                  <w:tcBorders>
                    <w:top w:val="single" w:color="auto" w:sz="4" w:space="0"/>
                    <w:left w:val="single" w:color="auto" w:sz="4" w:space="0"/>
                    <w:bottom w:val="single" w:color="auto" w:sz="4" w:space="0"/>
                    <w:right w:val="single" w:color="000000" w:sz="4" w:space="0"/>
                  </w:tcBorders>
                  <w:shd w:val="clear" w:color="auto" w:fill="auto"/>
                  <w:vAlign w:val="center"/>
                </w:tcPr>
                <w:p>
                  <w:pPr>
                    <w:pStyle w:val="56"/>
                  </w:pPr>
                  <w:r>
                    <w:rPr>
                      <w:rFonts w:hint="eastAsia"/>
                    </w:rPr>
                    <w:t>N4 项目北侧边界</w:t>
                  </w:r>
                </w:p>
              </w:tc>
              <w:tc>
                <w:tcPr>
                  <w:tcW w:w="974" w:type="pct"/>
                  <w:tcBorders>
                    <w:top w:val="nil"/>
                    <w:left w:val="nil"/>
                    <w:bottom w:val="single" w:color="auto" w:sz="4" w:space="0"/>
                    <w:right w:val="single" w:color="auto" w:sz="4" w:space="0"/>
                  </w:tcBorders>
                  <w:shd w:val="clear" w:color="auto" w:fill="auto"/>
                  <w:vAlign w:val="center"/>
                </w:tcPr>
                <w:p>
                  <w:pPr>
                    <w:pStyle w:val="56"/>
                  </w:pPr>
                  <w:r>
                    <w:rPr>
                      <w:rFonts w:hint="eastAsia"/>
                    </w:rPr>
                    <w:t>57</w:t>
                  </w:r>
                </w:p>
              </w:tc>
              <w:tc>
                <w:tcPr>
                  <w:tcW w:w="650" w:type="pct"/>
                  <w:tcBorders>
                    <w:top w:val="nil"/>
                    <w:left w:val="nil"/>
                    <w:bottom w:val="single" w:color="auto" w:sz="4" w:space="0"/>
                    <w:right w:val="single" w:color="auto" w:sz="4" w:space="0"/>
                  </w:tcBorders>
                  <w:shd w:val="clear" w:color="auto" w:fill="auto"/>
                  <w:vAlign w:val="center"/>
                </w:tcPr>
                <w:p>
                  <w:pPr>
                    <w:pStyle w:val="56"/>
                  </w:pPr>
                  <w:r>
                    <w:rPr>
                      <w:rFonts w:hint="eastAsia"/>
                    </w:rPr>
                    <w:t>49</w:t>
                  </w:r>
                </w:p>
              </w:tc>
              <w:tc>
                <w:tcPr>
                  <w:tcW w:w="994" w:type="pct"/>
                  <w:tcBorders>
                    <w:top w:val="nil"/>
                    <w:left w:val="nil"/>
                    <w:bottom w:val="single" w:color="auto" w:sz="4" w:space="0"/>
                    <w:right w:val="single" w:color="auto" w:sz="4" w:space="0"/>
                  </w:tcBorders>
                  <w:shd w:val="clear" w:color="auto" w:fill="auto"/>
                  <w:noWrap/>
                  <w:vAlign w:val="center"/>
                </w:tcPr>
                <w:p>
                  <w:pPr>
                    <w:pStyle w:val="56"/>
                  </w:pPr>
                  <w:r>
                    <w:rPr>
                      <w:rFonts w:hint="eastAsia"/>
                    </w:rPr>
                    <w:t>56</w:t>
                  </w:r>
                </w:p>
              </w:tc>
              <w:tc>
                <w:tcPr>
                  <w:tcW w:w="956" w:type="pct"/>
                  <w:tcBorders>
                    <w:top w:val="nil"/>
                    <w:left w:val="nil"/>
                    <w:bottom w:val="single" w:color="auto" w:sz="4" w:space="0"/>
                    <w:right w:val="single" w:color="auto" w:sz="4" w:space="0"/>
                  </w:tcBorders>
                  <w:shd w:val="clear" w:color="auto" w:fill="auto"/>
                  <w:noWrap/>
                  <w:vAlign w:val="center"/>
                </w:tcPr>
                <w:p>
                  <w:pPr>
                    <w:pStyle w:val="56"/>
                  </w:pPr>
                  <w:r>
                    <w:rPr>
                      <w:rFonts w:hint="eastAsia"/>
                    </w:rPr>
                    <w:t>48</w:t>
                  </w:r>
                </w:p>
              </w:tc>
            </w:tr>
            <w:tr>
              <w:tblPrEx>
                <w:tblCellMar>
                  <w:top w:w="0" w:type="dxa"/>
                  <w:left w:w="108" w:type="dxa"/>
                  <w:bottom w:w="0" w:type="dxa"/>
                  <w:right w:w="108" w:type="dxa"/>
                </w:tblCellMar>
              </w:tblPrEx>
              <w:trPr>
                <w:trHeight w:val="20" w:hRule="atLeast"/>
              </w:trPr>
              <w:tc>
                <w:tcPr>
                  <w:tcW w:w="1426" w:type="pct"/>
                  <w:tcBorders>
                    <w:top w:val="single" w:color="auto" w:sz="4" w:space="0"/>
                    <w:left w:val="single" w:color="auto" w:sz="4" w:space="0"/>
                    <w:bottom w:val="single" w:color="auto" w:sz="4" w:space="0"/>
                    <w:right w:val="single" w:color="000000" w:sz="4" w:space="0"/>
                  </w:tcBorders>
                  <w:shd w:val="clear" w:color="auto" w:fill="auto"/>
                  <w:vAlign w:val="center"/>
                </w:tcPr>
                <w:p>
                  <w:pPr>
                    <w:pStyle w:val="56"/>
                  </w:pPr>
                  <w:r>
                    <w:rPr>
                      <w:rFonts w:hint="eastAsia"/>
                    </w:rPr>
                    <w:t>N5 圆梦园</w:t>
                  </w:r>
                </w:p>
              </w:tc>
              <w:tc>
                <w:tcPr>
                  <w:tcW w:w="974" w:type="pct"/>
                  <w:tcBorders>
                    <w:top w:val="nil"/>
                    <w:left w:val="nil"/>
                    <w:bottom w:val="single" w:color="auto" w:sz="4" w:space="0"/>
                    <w:right w:val="single" w:color="auto" w:sz="4" w:space="0"/>
                  </w:tcBorders>
                  <w:shd w:val="clear" w:color="auto" w:fill="auto"/>
                  <w:vAlign w:val="center"/>
                </w:tcPr>
                <w:p>
                  <w:pPr>
                    <w:pStyle w:val="56"/>
                  </w:pPr>
                  <w:r>
                    <w:rPr>
                      <w:rFonts w:hint="eastAsia"/>
                    </w:rPr>
                    <w:t>59</w:t>
                  </w:r>
                </w:p>
              </w:tc>
              <w:tc>
                <w:tcPr>
                  <w:tcW w:w="650" w:type="pct"/>
                  <w:tcBorders>
                    <w:top w:val="nil"/>
                    <w:left w:val="nil"/>
                    <w:bottom w:val="single" w:color="auto" w:sz="4" w:space="0"/>
                    <w:right w:val="single" w:color="auto" w:sz="4" w:space="0"/>
                  </w:tcBorders>
                  <w:shd w:val="clear" w:color="auto" w:fill="auto"/>
                  <w:vAlign w:val="center"/>
                </w:tcPr>
                <w:p>
                  <w:pPr>
                    <w:pStyle w:val="56"/>
                  </w:pPr>
                  <w:r>
                    <w:t>48</w:t>
                  </w:r>
                </w:p>
              </w:tc>
              <w:tc>
                <w:tcPr>
                  <w:tcW w:w="994" w:type="pct"/>
                  <w:tcBorders>
                    <w:top w:val="nil"/>
                    <w:left w:val="nil"/>
                    <w:bottom w:val="single" w:color="auto" w:sz="4" w:space="0"/>
                    <w:right w:val="single" w:color="auto" w:sz="4" w:space="0"/>
                  </w:tcBorders>
                  <w:shd w:val="clear" w:color="auto" w:fill="auto"/>
                  <w:noWrap/>
                  <w:vAlign w:val="center"/>
                </w:tcPr>
                <w:p>
                  <w:pPr>
                    <w:pStyle w:val="56"/>
                  </w:pPr>
                  <w:r>
                    <w:rPr>
                      <w:rFonts w:hint="eastAsia"/>
                    </w:rPr>
                    <w:t>57</w:t>
                  </w:r>
                </w:p>
              </w:tc>
              <w:tc>
                <w:tcPr>
                  <w:tcW w:w="956" w:type="pct"/>
                  <w:tcBorders>
                    <w:top w:val="nil"/>
                    <w:left w:val="nil"/>
                    <w:bottom w:val="single" w:color="auto" w:sz="4" w:space="0"/>
                    <w:right w:val="single" w:color="auto" w:sz="4" w:space="0"/>
                  </w:tcBorders>
                  <w:shd w:val="clear" w:color="auto" w:fill="auto"/>
                  <w:noWrap/>
                  <w:vAlign w:val="center"/>
                </w:tcPr>
                <w:p>
                  <w:pPr>
                    <w:pStyle w:val="56"/>
                  </w:pPr>
                  <w:r>
                    <w:rPr>
                      <w:rFonts w:hint="eastAsia"/>
                    </w:rPr>
                    <w:t>49</w:t>
                  </w:r>
                </w:p>
              </w:tc>
            </w:tr>
            <w:tr>
              <w:tblPrEx>
                <w:tblCellMar>
                  <w:top w:w="0" w:type="dxa"/>
                  <w:left w:w="108" w:type="dxa"/>
                  <w:bottom w:w="0" w:type="dxa"/>
                  <w:right w:w="108" w:type="dxa"/>
                </w:tblCellMar>
              </w:tblPrEx>
              <w:trPr>
                <w:trHeight w:val="20" w:hRule="atLeast"/>
              </w:trPr>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pPr>
                  <w:r>
                    <w:rPr>
                      <w:rFonts w:hint="eastAsia"/>
                    </w:rPr>
                    <w:t>执行标准</w:t>
                  </w:r>
                </w:p>
              </w:tc>
              <w:tc>
                <w:tcPr>
                  <w:tcW w:w="97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pPr>
                  <w:r>
                    <w:rPr>
                      <w:rFonts w:hint="eastAsia"/>
                    </w:rPr>
                    <w:t>6</w:t>
                  </w:r>
                  <w:r>
                    <w:t>5</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pPr>
                  <w:r>
                    <w:rPr>
                      <w:rFonts w:hint="eastAsia"/>
                    </w:rPr>
                    <w:t>5</w:t>
                  </w:r>
                  <w:r>
                    <w:t>5</w:t>
                  </w:r>
                </w:p>
              </w:tc>
              <w:tc>
                <w:tcPr>
                  <w:tcW w:w="99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6"/>
                  </w:pPr>
                  <w:r>
                    <w:rPr>
                      <w:rFonts w:hint="eastAsia"/>
                    </w:rPr>
                    <w:t>6</w:t>
                  </w:r>
                  <w:r>
                    <w:t>5</w:t>
                  </w:r>
                </w:p>
              </w:tc>
              <w:tc>
                <w:tcPr>
                  <w:tcW w:w="95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6"/>
                  </w:pPr>
                  <w:r>
                    <w:rPr>
                      <w:rFonts w:hint="eastAsia"/>
                    </w:rPr>
                    <w:t>5</w:t>
                  </w:r>
                  <w:r>
                    <w:t>5</w:t>
                  </w:r>
                </w:p>
              </w:tc>
            </w:tr>
            <w:tr>
              <w:tblPrEx>
                <w:tblCellMar>
                  <w:top w:w="0" w:type="dxa"/>
                  <w:left w:w="108" w:type="dxa"/>
                  <w:bottom w:w="0" w:type="dxa"/>
                  <w:right w:w="108" w:type="dxa"/>
                </w:tblCellMar>
              </w:tblPrEx>
              <w:trPr>
                <w:trHeight w:val="20" w:hRule="atLeast"/>
              </w:trPr>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pPr>
                  <w:r>
                    <w:rPr>
                      <w:rFonts w:hint="eastAsia"/>
                    </w:rPr>
                    <w:t>是否达标</w:t>
                  </w:r>
                </w:p>
              </w:tc>
              <w:tc>
                <w:tcPr>
                  <w:tcW w:w="97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pPr>
                  <w:r>
                    <w:rPr>
                      <w:rFonts w:hint="eastAsia"/>
                    </w:rPr>
                    <w:t>达标</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pPr>
                  <w:r>
                    <w:rPr>
                      <w:rFonts w:hint="eastAsia"/>
                    </w:rPr>
                    <w:t>达标</w:t>
                  </w:r>
                </w:p>
              </w:tc>
              <w:tc>
                <w:tcPr>
                  <w:tcW w:w="99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6"/>
                  </w:pPr>
                  <w:r>
                    <w:rPr>
                      <w:rFonts w:hint="eastAsia"/>
                    </w:rPr>
                    <w:t>达标</w:t>
                  </w:r>
                </w:p>
              </w:tc>
              <w:tc>
                <w:tcPr>
                  <w:tcW w:w="95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6"/>
                  </w:pPr>
                  <w:r>
                    <w:rPr>
                      <w:rFonts w:hint="eastAsia"/>
                    </w:rPr>
                    <w:t>达标</w:t>
                  </w:r>
                </w:p>
              </w:tc>
            </w:tr>
          </w:tbl>
          <w:p>
            <w:pPr>
              <w:pStyle w:val="56"/>
            </w:pPr>
          </w:p>
          <w:p>
            <w:pPr>
              <w:pStyle w:val="56"/>
              <w:keepNext/>
            </w:pPr>
            <w:r>
              <w:drawing>
                <wp:inline distT="0" distB="0" distL="0" distR="0">
                  <wp:extent cx="4323080" cy="267081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cstate="email"/>
                          <a:stretch>
                            <a:fillRect/>
                          </a:stretch>
                        </pic:blipFill>
                        <pic:spPr>
                          <a:xfrm>
                            <a:off x="0" y="0"/>
                            <a:ext cx="4348161" cy="2686583"/>
                          </a:xfrm>
                          <a:prstGeom prst="rect">
                            <a:avLst/>
                          </a:prstGeom>
                        </pic:spPr>
                      </pic:pic>
                    </a:graphicData>
                  </a:graphic>
                </wp:inline>
              </w:drawing>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噪声监测点位布点图</w:t>
            </w:r>
          </w:p>
          <w:p>
            <w:pPr>
              <w:pStyle w:val="56"/>
            </w:pPr>
          </w:p>
          <w:p>
            <w:pPr>
              <w:pStyle w:val="3"/>
              <w:rPr>
                <w:lang w:eastAsia="zh-CN"/>
              </w:rPr>
            </w:pPr>
            <w:bookmarkStart w:id="85" w:name="_Toc120889808"/>
            <w:bookmarkStart w:id="86" w:name="_Toc121147737"/>
            <w:bookmarkStart w:id="87" w:name="_Toc122338505"/>
            <w:r>
              <w:rPr>
                <w:rFonts w:hint="eastAsia"/>
                <w:lang w:eastAsia="zh-CN"/>
              </w:rPr>
              <w:t>生态环境环境质量现状调查</w:t>
            </w:r>
            <w:bookmarkEnd w:id="85"/>
            <w:bookmarkEnd w:id="86"/>
            <w:bookmarkEnd w:id="87"/>
          </w:p>
          <w:p>
            <w:pPr>
              <w:ind w:firstLine="480"/>
              <w:rPr>
                <w:rFonts w:ascii="宋体" w:hAnsi="宋体" w:cs="宋体"/>
                <w:lang w:val="zh-CN"/>
              </w:rPr>
            </w:pPr>
            <w:r>
              <w:rPr>
                <w:rFonts w:hint="eastAsia" w:ascii="宋体" w:hAnsi="宋体" w:cs="宋体"/>
                <w:lang w:val="zh-CN"/>
              </w:rPr>
              <w:t>项目位于工业集聚区，现状用地以工业用地为主。由于长期受工业生产活动影响，陆生生态现状质量一般，无保护物种。项目在现有厂房内建设，无需土建工程，无需再对土壤、植被等进行扰动。项目所在区域周边附近无风景名胜区、自然保护区及文化遗产等特殊保护目标，无天然林及珍稀植被，区域内生物多样性程度较低，无珍稀动物，生态环境不属于敏感区，不涉及场界外生态影响，因此不需要进行厂区场界外生态现状调查。</w:t>
            </w:r>
          </w:p>
          <w:p>
            <w:pPr>
              <w:pStyle w:val="3"/>
              <w:rPr>
                <w:lang w:eastAsia="zh-CN"/>
              </w:rPr>
            </w:pPr>
            <w:bookmarkStart w:id="88" w:name="_Toc120889809"/>
            <w:bookmarkStart w:id="89" w:name="_Toc121147738"/>
            <w:bookmarkStart w:id="90" w:name="_Toc122338506"/>
            <w:r>
              <w:rPr>
                <w:rFonts w:hint="eastAsia"/>
                <w:lang w:eastAsia="zh-CN"/>
              </w:rPr>
              <w:t>地下水、土壤环境质量现状调查</w:t>
            </w:r>
            <w:bookmarkEnd w:id="88"/>
            <w:bookmarkEnd w:id="89"/>
            <w:bookmarkEnd w:id="90"/>
          </w:p>
          <w:p>
            <w:pPr>
              <w:ind w:firstLine="480"/>
              <w:rPr>
                <w:lang w:val="zh-CN"/>
              </w:rPr>
            </w:pPr>
            <w:r>
              <w:rPr>
                <w:rFonts w:hint="eastAsia"/>
                <w:lang w:val="zh-CN"/>
              </w:rPr>
              <w:t>根据《环境影响评价技术导则 地下水环境》（HJ610-2016）附录A要求，本项目属于“社会事业与服务业－专业实验室”，为Ⅳ类项目，因此本项目可不开展地下水环境影响评价。</w:t>
            </w:r>
          </w:p>
          <w:p>
            <w:pPr>
              <w:ind w:firstLine="480"/>
              <w:rPr>
                <w:lang w:val="zh-CN"/>
              </w:rPr>
            </w:pPr>
            <w:r>
              <w:rPr>
                <w:rFonts w:hint="eastAsia"/>
                <w:lang w:val="zh-CN"/>
              </w:rPr>
              <w:t>根据《环境影响评价技术导则 土壤环境（试行）》（HJ964-2018）的附录A土壤环境影响评价项目类别，本项目属于“其他”，可不开展土壤环境评价。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335" w:type="dxa"/>
            <w:vAlign w:val="center"/>
          </w:tcPr>
          <w:p>
            <w:pPr>
              <w:spacing w:line="240" w:lineRule="auto"/>
              <w:ind w:firstLine="0" w:firstLineChars="0"/>
              <w:jc w:val="center"/>
            </w:pPr>
            <w:r>
              <w:rPr>
                <w:rFonts w:hint="eastAsia"/>
              </w:rPr>
              <w:t>环境保护目标</w:t>
            </w:r>
          </w:p>
        </w:tc>
        <w:tc>
          <w:tcPr>
            <w:tcW w:w="7535" w:type="dxa"/>
          </w:tcPr>
          <w:p>
            <w:pPr>
              <w:pStyle w:val="3"/>
              <w:rPr>
                <w:lang w:eastAsia="zh-CN"/>
              </w:rPr>
            </w:pPr>
            <w:bookmarkStart w:id="91" w:name="_Toc120889810"/>
            <w:bookmarkStart w:id="92" w:name="_Toc121147739"/>
            <w:bookmarkStart w:id="93" w:name="_Toc122338507"/>
            <w:r>
              <w:rPr>
                <w:rFonts w:hint="eastAsia"/>
                <w:lang w:eastAsia="zh-CN"/>
              </w:rPr>
              <w:t>环境保护目标</w:t>
            </w:r>
            <w:bookmarkEnd w:id="91"/>
            <w:bookmarkEnd w:id="92"/>
            <w:bookmarkEnd w:id="93"/>
          </w:p>
          <w:p>
            <w:pPr>
              <w:ind w:firstLine="480"/>
              <w:rPr>
                <w:lang w:val="zh-CN"/>
              </w:rPr>
            </w:pPr>
            <w:r>
              <w:rPr>
                <w:rFonts w:hint="eastAsia"/>
                <w:lang w:val="zh-CN"/>
              </w:rPr>
              <w:t>本项目位于茂名高新技术产业开发区恒基路99号，为工业区聚集地，项目周边的主要环境保护目标见下表。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项目周边环境保护目标</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079"/>
              <w:gridCol w:w="652"/>
              <w:gridCol w:w="654"/>
              <w:gridCol w:w="808"/>
              <w:gridCol w:w="782"/>
              <w:gridCol w:w="672"/>
              <w:gridCol w:w="801"/>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1" w:type="pct"/>
                  <w:vMerge w:val="restart"/>
                  <w:vAlign w:val="center"/>
                </w:tcPr>
                <w:p>
                  <w:pPr>
                    <w:pStyle w:val="56"/>
                  </w:pPr>
                  <w:r>
                    <w:t>项目</w:t>
                  </w:r>
                </w:p>
              </w:tc>
              <w:tc>
                <w:tcPr>
                  <w:tcW w:w="737" w:type="pct"/>
                  <w:vMerge w:val="restart"/>
                  <w:vAlign w:val="center"/>
                </w:tcPr>
                <w:p>
                  <w:pPr>
                    <w:pStyle w:val="56"/>
                  </w:pPr>
                  <w:r>
                    <w:t>名称</w:t>
                  </w:r>
                </w:p>
              </w:tc>
              <w:tc>
                <w:tcPr>
                  <w:tcW w:w="917" w:type="pct"/>
                  <w:gridSpan w:val="2"/>
                  <w:vAlign w:val="center"/>
                </w:tcPr>
                <w:p>
                  <w:pPr>
                    <w:pStyle w:val="56"/>
                  </w:pPr>
                  <w:r>
                    <w:t>坐标/m</w:t>
                  </w:r>
                </w:p>
              </w:tc>
              <w:tc>
                <w:tcPr>
                  <w:tcW w:w="560" w:type="pct"/>
                  <w:vMerge w:val="restart"/>
                  <w:vAlign w:val="center"/>
                </w:tcPr>
                <w:p>
                  <w:pPr>
                    <w:pStyle w:val="56"/>
                  </w:pPr>
                  <w:r>
                    <w:t>保护对象</w:t>
                  </w:r>
                </w:p>
              </w:tc>
              <w:tc>
                <w:tcPr>
                  <w:tcW w:w="542" w:type="pct"/>
                  <w:vMerge w:val="restart"/>
                  <w:vAlign w:val="center"/>
                </w:tcPr>
                <w:p>
                  <w:pPr>
                    <w:pStyle w:val="56"/>
                  </w:pPr>
                  <w:r>
                    <w:t>保护内容</w:t>
                  </w:r>
                </w:p>
              </w:tc>
              <w:tc>
                <w:tcPr>
                  <w:tcW w:w="470" w:type="pct"/>
                  <w:vMerge w:val="restart"/>
                  <w:vAlign w:val="center"/>
                </w:tcPr>
                <w:p>
                  <w:pPr>
                    <w:pStyle w:val="56"/>
                  </w:pPr>
                  <w:r>
                    <w:t>相对厂址方位</w:t>
                  </w:r>
                </w:p>
              </w:tc>
              <w:tc>
                <w:tcPr>
                  <w:tcW w:w="551" w:type="pct"/>
                  <w:vMerge w:val="restart"/>
                  <w:vAlign w:val="center"/>
                </w:tcPr>
                <w:p>
                  <w:pPr>
                    <w:pStyle w:val="56"/>
                  </w:pPr>
                  <w:r>
                    <w:t>相对厂界距离（m）</w:t>
                  </w:r>
                </w:p>
              </w:tc>
              <w:tc>
                <w:tcPr>
                  <w:tcW w:w="682" w:type="pct"/>
                  <w:vMerge w:val="restart"/>
                  <w:vAlign w:val="center"/>
                </w:tcPr>
                <w:p>
                  <w:pPr>
                    <w:pStyle w:val="56"/>
                  </w:pPr>
                  <w: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1" w:type="pct"/>
                  <w:vMerge w:val="continue"/>
                  <w:vAlign w:val="center"/>
                </w:tcPr>
                <w:p>
                  <w:pPr>
                    <w:pStyle w:val="56"/>
                  </w:pPr>
                </w:p>
              </w:tc>
              <w:tc>
                <w:tcPr>
                  <w:tcW w:w="737" w:type="pct"/>
                  <w:vMerge w:val="continue"/>
                  <w:vAlign w:val="center"/>
                </w:tcPr>
                <w:p>
                  <w:pPr>
                    <w:pStyle w:val="56"/>
                  </w:pPr>
                </w:p>
              </w:tc>
              <w:tc>
                <w:tcPr>
                  <w:tcW w:w="458" w:type="pct"/>
                  <w:vAlign w:val="center"/>
                </w:tcPr>
                <w:p>
                  <w:pPr>
                    <w:pStyle w:val="56"/>
                  </w:pPr>
                  <w:r>
                    <w:rPr>
                      <w:rFonts w:hint="eastAsia"/>
                    </w:rPr>
                    <w:t>X</w:t>
                  </w:r>
                </w:p>
              </w:tc>
              <w:tc>
                <w:tcPr>
                  <w:tcW w:w="459" w:type="pct"/>
                  <w:vAlign w:val="center"/>
                </w:tcPr>
                <w:p>
                  <w:pPr>
                    <w:pStyle w:val="56"/>
                  </w:pPr>
                  <w:r>
                    <w:rPr>
                      <w:rFonts w:hint="eastAsia"/>
                    </w:rPr>
                    <w:t>Y</w:t>
                  </w:r>
                </w:p>
              </w:tc>
              <w:tc>
                <w:tcPr>
                  <w:tcW w:w="560" w:type="pct"/>
                  <w:vMerge w:val="continue"/>
                  <w:vAlign w:val="center"/>
                </w:tcPr>
                <w:p>
                  <w:pPr>
                    <w:pStyle w:val="56"/>
                  </w:pPr>
                </w:p>
              </w:tc>
              <w:tc>
                <w:tcPr>
                  <w:tcW w:w="542" w:type="pct"/>
                  <w:vMerge w:val="continue"/>
                  <w:vAlign w:val="center"/>
                </w:tcPr>
                <w:p>
                  <w:pPr>
                    <w:pStyle w:val="56"/>
                  </w:pPr>
                </w:p>
              </w:tc>
              <w:tc>
                <w:tcPr>
                  <w:tcW w:w="470" w:type="pct"/>
                  <w:vMerge w:val="continue"/>
                  <w:vAlign w:val="center"/>
                </w:tcPr>
                <w:p>
                  <w:pPr>
                    <w:pStyle w:val="56"/>
                  </w:pPr>
                </w:p>
              </w:tc>
              <w:tc>
                <w:tcPr>
                  <w:tcW w:w="551" w:type="pct"/>
                  <w:vMerge w:val="continue"/>
                  <w:vAlign w:val="center"/>
                </w:tcPr>
                <w:p>
                  <w:pPr>
                    <w:pStyle w:val="56"/>
                  </w:pPr>
                </w:p>
              </w:tc>
              <w:tc>
                <w:tcPr>
                  <w:tcW w:w="682"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1" w:type="pct"/>
                  <w:vMerge w:val="restart"/>
                  <w:vAlign w:val="center"/>
                </w:tcPr>
                <w:p>
                  <w:pPr>
                    <w:pStyle w:val="56"/>
                  </w:pPr>
                  <w:r>
                    <w:rPr>
                      <w:rFonts w:hint="eastAsia"/>
                    </w:rPr>
                    <w:t>大气环境</w:t>
                  </w:r>
                </w:p>
              </w:tc>
              <w:tc>
                <w:tcPr>
                  <w:tcW w:w="737" w:type="pct"/>
                  <w:vAlign w:val="center"/>
                </w:tcPr>
                <w:p>
                  <w:pPr>
                    <w:pStyle w:val="56"/>
                    <w:rPr>
                      <w:kern w:val="0"/>
                    </w:rPr>
                  </w:pPr>
                  <w:r>
                    <w:rPr>
                      <w:rFonts w:hint="eastAsia"/>
                      <w:kern w:val="0"/>
                      <w:lang w:eastAsia="zh-CN"/>
                    </w:rPr>
                    <w:t>上坡</w:t>
                  </w:r>
                </w:p>
              </w:tc>
              <w:tc>
                <w:tcPr>
                  <w:tcW w:w="458" w:type="pct"/>
                  <w:vAlign w:val="center"/>
                </w:tcPr>
                <w:p>
                  <w:pPr>
                    <w:pStyle w:val="56"/>
                    <w:rPr>
                      <w:kern w:val="0"/>
                      <w:lang w:eastAsia="zh-CN"/>
                    </w:rPr>
                  </w:pPr>
                  <w:r>
                    <w:rPr>
                      <w:rFonts w:hint="eastAsia"/>
                      <w:kern w:val="0"/>
                      <w:lang w:eastAsia="zh-CN"/>
                    </w:rPr>
                    <w:t>-</w:t>
                  </w:r>
                  <w:r>
                    <w:rPr>
                      <w:kern w:val="0"/>
                      <w:lang w:eastAsia="zh-CN"/>
                    </w:rPr>
                    <w:t>100</w:t>
                  </w:r>
                </w:p>
              </w:tc>
              <w:tc>
                <w:tcPr>
                  <w:tcW w:w="459" w:type="pct"/>
                  <w:vAlign w:val="center"/>
                </w:tcPr>
                <w:p>
                  <w:pPr>
                    <w:pStyle w:val="56"/>
                    <w:rPr>
                      <w:lang w:eastAsia="zh-CN"/>
                    </w:rPr>
                  </w:pPr>
                  <w:r>
                    <w:rPr>
                      <w:rFonts w:hint="eastAsia"/>
                      <w:lang w:eastAsia="zh-CN"/>
                    </w:rPr>
                    <w:t>9</w:t>
                  </w:r>
                  <w:r>
                    <w:rPr>
                      <w:lang w:eastAsia="zh-CN"/>
                    </w:rPr>
                    <w:t>8</w:t>
                  </w:r>
                </w:p>
              </w:tc>
              <w:tc>
                <w:tcPr>
                  <w:tcW w:w="560" w:type="pct"/>
                  <w:vAlign w:val="center"/>
                </w:tcPr>
                <w:p>
                  <w:pPr>
                    <w:pStyle w:val="56"/>
                  </w:pPr>
                  <w:r>
                    <w:rPr>
                      <w:rFonts w:hint="eastAsia"/>
                      <w:lang w:eastAsia="zh-CN"/>
                    </w:rPr>
                    <w:t>居民区</w:t>
                  </w:r>
                </w:p>
              </w:tc>
              <w:tc>
                <w:tcPr>
                  <w:tcW w:w="542" w:type="pct"/>
                  <w:vAlign w:val="center"/>
                </w:tcPr>
                <w:p>
                  <w:pPr>
                    <w:pStyle w:val="56"/>
                    <w:rPr>
                      <w:lang w:eastAsia="zh-CN"/>
                    </w:rPr>
                  </w:pPr>
                  <w:r>
                    <w:rPr>
                      <w:rFonts w:hint="eastAsia"/>
                      <w:lang w:eastAsia="zh-CN"/>
                    </w:rPr>
                    <w:t>5</w:t>
                  </w:r>
                  <w:r>
                    <w:rPr>
                      <w:lang w:eastAsia="zh-CN"/>
                    </w:rPr>
                    <w:t>00</w:t>
                  </w:r>
                  <w:r>
                    <w:rPr>
                      <w:rFonts w:hint="eastAsia"/>
                      <w:lang w:eastAsia="zh-CN"/>
                    </w:rPr>
                    <w:t>人</w:t>
                  </w:r>
                </w:p>
              </w:tc>
              <w:tc>
                <w:tcPr>
                  <w:tcW w:w="470" w:type="pct"/>
                  <w:vAlign w:val="center"/>
                </w:tcPr>
                <w:p>
                  <w:pPr>
                    <w:pStyle w:val="56"/>
                    <w:rPr>
                      <w:lang w:eastAsia="zh-CN"/>
                    </w:rPr>
                  </w:pPr>
                  <w:r>
                    <w:rPr>
                      <w:rFonts w:hint="eastAsia"/>
                      <w:lang w:eastAsia="zh-CN"/>
                    </w:rPr>
                    <w:t>西北</w:t>
                  </w:r>
                </w:p>
              </w:tc>
              <w:tc>
                <w:tcPr>
                  <w:tcW w:w="551" w:type="pct"/>
                  <w:vAlign w:val="center"/>
                </w:tcPr>
                <w:p>
                  <w:pPr>
                    <w:pStyle w:val="56"/>
                    <w:rPr>
                      <w:lang w:eastAsia="zh-CN"/>
                    </w:rPr>
                  </w:pPr>
                  <w:r>
                    <w:rPr>
                      <w:rFonts w:hint="eastAsia"/>
                      <w:lang w:eastAsia="zh-CN"/>
                    </w:rPr>
                    <w:t>1</w:t>
                  </w:r>
                  <w:r>
                    <w:rPr>
                      <w:lang w:eastAsia="zh-CN"/>
                    </w:rPr>
                    <w:t>45</w:t>
                  </w:r>
                </w:p>
              </w:tc>
              <w:tc>
                <w:tcPr>
                  <w:tcW w:w="682" w:type="pct"/>
                  <w:vMerge w:val="restart"/>
                  <w:vAlign w:val="center"/>
                </w:tcPr>
                <w:p>
                  <w:pPr>
                    <w:pStyle w:val="56"/>
                  </w:pPr>
                  <w:r>
                    <w:t>GB3095-2012</w:t>
                  </w:r>
                </w:p>
                <w:p>
                  <w:pPr>
                    <w:pStyle w:val="56"/>
                  </w:pPr>
                  <w:r>
                    <w:rPr>
                      <w:rFonts w:hint="eastAsia"/>
                      <w:lang w:eastAsia="zh-CN"/>
                    </w:rPr>
                    <w:t>二</w:t>
                  </w:r>
                  <w:r>
                    <w:rPr>
                      <w:rFonts w:hint="eastAsia"/>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41" w:type="pct"/>
                  <w:vMerge w:val="continue"/>
                  <w:vAlign w:val="center"/>
                </w:tcPr>
                <w:p>
                  <w:pPr>
                    <w:pStyle w:val="56"/>
                  </w:pPr>
                </w:p>
              </w:tc>
              <w:tc>
                <w:tcPr>
                  <w:tcW w:w="737" w:type="pct"/>
                  <w:vAlign w:val="center"/>
                </w:tcPr>
                <w:p>
                  <w:pPr>
                    <w:pStyle w:val="56"/>
                  </w:pPr>
                  <w:r>
                    <w:rPr>
                      <w:rFonts w:hint="eastAsia"/>
                      <w:lang w:eastAsia="zh-CN"/>
                    </w:rPr>
                    <w:t>后吕</w:t>
                  </w:r>
                </w:p>
              </w:tc>
              <w:tc>
                <w:tcPr>
                  <w:tcW w:w="458" w:type="pct"/>
                  <w:vAlign w:val="center"/>
                </w:tcPr>
                <w:p>
                  <w:pPr>
                    <w:pStyle w:val="56"/>
                    <w:rPr>
                      <w:kern w:val="0"/>
                      <w:lang w:eastAsia="zh-CN"/>
                    </w:rPr>
                  </w:pPr>
                  <w:r>
                    <w:rPr>
                      <w:rFonts w:hint="eastAsia"/>
                      <w:kern w:val="0"/>
                      <w:lang w:eastAsia="zh-CN"/>
                    </w:rPr>
                    <w:t>-</w:t>
                  </w:r>
                  <w:r>
                    <w:rPr>
                      <w:kern w:val="0"/>
                      <w:lang w:eastAsia="zh-CN"/>
                    </w:rPr>
                    <w:t>309</w:t>
                  </w:r>
                </w:p>
              </w:tc>
              <w:tc>
                <w:tcPr>
                  <w:tcW w:w="459" w:type="pct"/>
                  <w:vAlign w:val="center"/>
                </w:tcPr>
                <w:p>
                  <w:pPr>
                    <w:pStyle w:val="56"/>
                    <w:rPr>
                      <w:lang w:eastAsia="zh-CN"/>
                    </w:rPr>
                  </w:pPr>
                  <w:r>
                    <w:rPr>
                      <w:rFonts w:hint="eastAsia"/>
                      <w:lang w:eastAsia="zh-CN"/>
                    </w:rPr>
                    <w:t>0</w:t>
                  </w:r>
                </w:p>
              </w:tc>
              <w:tc>
                <w:tcPr>
                  <w:tcW w:w="560" w:type="pct"/>
                  <w:vAlign w:val="center"/>
                </w:tcPr>
                <w:p>
                  <w:pPr>
                    <w:pStyle w:val="56"/>
                  </w:pPr>
                  <w:r>
                    <w:rPr>
                      <w:rFonts w:hint="eastAsia"/>
                      <w:lang w:eastAsia="zh-CN"/>
                    </w:rPr>
                    <w:t>居民区</w:t>
                  </w:r>
                </w:p>
              </w:tc>
              <w:tc>
                <w:tcPr>
                  <w:tcW w:w="542" w:type="pct"/>
                  <w:vAlign w:val="center"/>
                </w:tcPr>
                <w:p>
                  <w:pPr>
                    <w:pStyle w:val="56"/>
                    <w:rPr>
                      <w:lang w:eastAsia="zh-CN"/>
                    </w:rPr>
                  </w:pPr>
                  <w:r>
                    <w:rPr>
                      <w:rFonts w:hint="eastAsia"/>
                      <w:lang w:eastAsia="zh-CN"/>
                    </w:rPr>
                    <w:t>8</w:t>
                  </w:r>
                  <w:r>
                    <w:rPr>
                      <w:lang w:eastAsia="zh-CN"/>
                    </w:rPr>
                    <w:t>00</w:t>
                  </w:r>
                  <w:r>
                    <w:rPr>
                      <w:rFonts w:hint="eastAsia"/>
                      <w:lang w:eastAsia="zh-CN"/>
                    </w:rPr>
                    <w:t>人</w:t>
                  </w:r>
                </w:p>
              </w:tc>
              <w:tc>
                <w:tcPr>
                  <w:tcW w:w="470" w:type="pct"/>
                  <w:vAlign w:val="center"/>
                </w:tcPr>
                <w:p>
                  <w:pPr>
                    <w:pStyle w:val="56"/>
                  </w:pPr>
                  <w:r>
                    <w:rPr>
                      <w:rFonts w:hint="eastAsia"/>
                      <w:lang w:eastAsia="zh-CN"/>
                    </w:rPr>
                    <w:t>西</w:t>
                  </w:r>
                </w:p>
              </w:tc>
              <w:tc>
                <w:tcPr>
                  <w:tcW w:w="551" w:type="pct"/>
                  <w:vAlign w:val="center"/>
                </w:tcPr>
                <w:p>
                  <w:pPr>
                    <w:pStyle w:val="56"/>
                    <w:rPr>
                      <w:lang w:eastAsia="zh-CN"/>
                    </w:rPr>
                  </w:pPr>
                  <w:r>
                    <w:rPr>
                      <w:rFonts w:hint="eastAsia"/>
                      <w:lang w:eastAsia="zh-CN"/>
                    </w:rPr>
                    <w:t>3</w:t>
                  </w:r>
                  <w:r>
                    <w:rPr>
                      <w:lang w:eastAsia="zh-CN"/>
                    </w:rPr>
                    <w:t>09</w:t>
                  </w:r>
                </w:p>
              </w:tc>
              <w:tc>
                <w:tcPr>
                  <w:tcW w:w="682"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41" w:type="pct"/>
                  <w:vMerge w:val="continue"/>
                  <w:vAlign w:val="center"/>
                </w:tcPr>
                <w:p>
                  <w:pPr>
                    <w:pStyle w:val="56"/>
                  </w:pPr>
                </w:p>
              </w:tc>
              <w:tc>
                <w:tcPr>
                  <w:tcW w:w="737" w:type="pct"/>
                  <w:vAlign w:val="center"/>
                </w:tcPr>
                <w:p>
                  <w:pPr>
                    <w:pStyle w:val="56"/>
                  </w:pPr>
                  <w:r>
                    <w:rPr>
                      <w:rFonts w:hint="eastAsia"/>
                      <w:lang w:eastAsia="zh-CN"/>
                    </w:rPr>
                    <w:t>塘尾</w:t>
                  </w:r>
                </w:p>
              </w:tc>
              <w:tc>
                <w:tcPr>
                  <w:tcW w:w="458" w:type="pct"/>
                  <w:vAlign w:val="center"/>
                </w:tcPr>
                <w:p>
                  <w:pPr>
                    <w:pStyle w:val="56"/>
                    <w:rPr>
                      <w:lang w:eastAsia="zh-CN"/>
                    </w:rPr>
                  </w:pPr>
                  <w:r>
                    <w:rPr>
                      <w:rFonts w:hint="eastAsia"/>
                      <w:lang w:eastAsia="zh-CN"/>
                    </w:rPr>
                    <w:t>-</w:t>
                  </w:r>
                  <w:r>
                    <w:rPr>
                      <w:lang w:eastAsia="zh-CN"/>
                    </w:rPr>
                    <w:t>334</w:t>
                  </w:r>
                </w:p>
              </w:tc>
              <w:tc>
                <w:tcPr>
                  <w:tcW w:w="459" w:type="pct"/>
                  <w:vAlign w:val="center"/>
                </w:tcPr>
                <w:p>
                  <w:pPr>
                    <w:pStyle w:val="56"/>
                    <w:rPr>
                      <w:lang w:eastAsia="zh-CN"/>
                    </w:rPr>
                  </w:pPr>
                  <w:r>
                    <w:rPr>
                      <w:rFonts w:hint="eastAsia"/>
                      <w:lang w:eastAsia="zh-CN"/>
                    </w:rPr>
                    <w:t>-</w:t>
                  </w:r>
                  <w:r>
                    <w:rPr>
                      <w:lang w:eastAsia="zh-CN"/>
                    </w:rPr>
                    <w:t>120</w:t>
                  </w:r>
                </w:p>
              </w:tc>
              <w:tc>
                <w:tcPr>
                  <w:tcW w:w="560" w:type="pct"/>
                  <w:vAlign w:val="center"/>
                </w:tcPr>
                <w:p>
                  <w:pPr>
                    <w:pStyle w:val="56"/>
                  </w:pPr>
                  <w:r>
                    <w:rPr>
                      <w:rFonts w:hint="eastAsia"/>
                      <w:lang w:eastAsia="zh-CN"/>
                    </w:rPr>
                    <w:t>居民区</w:t>
                  </w:r>
                </w:p>
              </w:tc>
              <w:tc>
                <w:tcPr>
                  <w:tcW w:w="542" w:type="pct"/>
                  <w:vAlign w:val="center"/>
                </w:tcPr>
                <w:p>
                  <w:pPr>
                    <w:pStyle w:val="56"/>
                    <w:rPr>
                      <w:lang w:eastAsia="zh-CN"/>
                    </w:rPr>
                  </w:pPr>
                  <w:r>
                    <w:rPr>
                      <w:rFonts w:hint="eastAsia"/>
                      <w:lang w:eastAsia="zh-CN"/>
                    </w:rPr>
                    <w:t>7</w:t>
                  </w:r>
                  <w:r>
                    <w:rPr>
                      <w:lang w:eastAsia="zh-CN"/>
                    </w:rPr>
                    <w:t>00</w:t>
                  </w:r>
                  <w:r>
                    <w:rPr>
                      <w:rFonts w:hint="eastAsia"/>
                      <w:lang w:eastAsia="zh-CN"/>
                    </w:rPr>
                    <w:t>人</w:t>
                  </w:r>
                </w:p>
              </w:tc>
              <w:tc>
                <w:tcPr>
                  <w:tcW w:w="470" w:type="pct"/>
                  <w:vAlign w:val="center"/>
                </w:tcPr>
                <w:p>
                  <w:pPr>
                    <w:pStyle w:val="56"/>
                  </w:pPr>
                  <w:r>
                    <w:rPr>
                      <w:rFonts w:hint="eastAsia"/>
                      <w:lang w:eastAsia="zh-CN"/>
                    </w:rPr>
                    <w:t>西南</w:t>
                  </w:r>
                </w:p>
              </w:tc>
              <w:tc>
                <w:tcPr>
                  <w:tcW w:w="551" w:type="pct"/>
                  <w:vAlign w:val="center"/>
                </w:tcPr>
                <w:p>
                  <w:pPr>
                    <w:pStyle w:val="56"/>
                    <w:rPr>
                      <w:lang w:eastAsia="zh-CN"/>
                    </w:rPr>
                  </w:pPr>
                  <w:r>
                    <w:rPr>
                      <w:rFonts w:hint="eastAsia"/>
                      <w:lang w:eastAsia="zh-CN"/>
                    </w:rPr>
                    <w:t>3</w:t>
                  </w:r>
                  <w:r>
                    <w:rPr>
                      <w:lang w:eastAsia="zh-CN"/>
                    </w:rPr>
                    <w:t>60</w:t>
                  </w:r>
                </w:p>
              </w:tc>
              <w:tc>
                <w:tcPr>
                  <w:tcW w:w="682"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1" w:type="pct"/>
                  <w:vMerge w:val="continue"/>
                  <w:vAlign w:val="center"/>
                </w:tcPr>
                <w:p>
                  <w:pPr>
                    <w:pStyle w:val="56"/>
                  </w:pPr>
                </w:p>
              </w:tc>
              <w:tc>
                <w:tcPr>
                  <w:tcW w:w="737" w:type="pct"/>
                  <w:vAlign w:val="center"/>
                </w:tcPr>
                <w:p>
                  <w:pPr>
                    <w:pStyle w:val="56"/>
                  </w:pPr>
                  <w:r>
                    <w:rPr>
                      <w:rFonts w:hint="eastAsia"/>
                      <w:lang w:eastAsia="zh-CN"/>
                    </w:rPr>
                    <w:t>圆梦园</w:t>
                  </w:r>
                </w:p>
              </w:tc>
              <w:tc>
                <w:tcPr>
                  <w:tcW w:w="458" w:type="pct"/>
                  <w:vAlign w:val="center"/>
                </w:tcPr>
                <w:p>
                  <w:pPr>
                    <w:pStyle w:val="56"/>
                    <w:rPr>
                      <w:lang w:eastAsia="zh-CN"/>
                    </w:rPr>
                  </w:pPr>
                  <w:r>
                    <w:rPr>
                      <w:rFonts w:hint="eastAsia"/>
                      <w:lang w:eastAsia="zh-CN"/>
                    </w:rPr>
                    <w:t>0</w:t>
                  </w:r>
                </w:p>
              </w:tc>
              <w:tc>
                <w:tcPr>
                  <w:tcW w:w="459" w:type="pct"/>
                  <w:vAlign w:val="center"/>
                </w:tcPr>
                <w:p>
                  <w:pPr>
                    <w:pStyle w:val="56"/>
                    <w:rPr>
                      <w:lang w:eastAsia="zh-CN"/>
                    </w:rPr>
                  </w:pPr>
                  <w:r>
                    <w:rPr>
                      <w:rFonts w:hint="eastAsia"/>
                      <w:lang w:eastAsia="zh-CN"/>
                    </w:rPr>
                    <w:t>9</w:t>
                  </w:r>
                </w:p>
              </w:tc>
              <w:tc>
                <w:tcPr>
                  <w:tcW w:w="560" w:type="pct"/>
                  <w:vAlign w:val="center"/>
                </w:tcPr>
                <w:p>
                  <w:pPr>
                    <w:pStyle w:val="56"/>
                  </w:pPr>
                  <w:r>
                    <w:rPr>
                      <w:rFonts w:hint="eastAsia"/>
                      <w:lang w:eastAsia="zh-CN"/>
                    </w:rPr>
                    <w:t>居民点</w:t>
                  </w:r>
                </w:p>
              </w:tc>
              <w:tc>
                <w:tcPr>
                  <w:tcW w:w="542" w:type="pct"/>
                  <w:vAlign w:val="center"/>
                </w:tcPr>
                <w:p>
                  <w:pPr>
                    <w:pStyle w:val="56"/>
                    <w:rPr>
                      <w:lang w:eastAsia="zh-CN"/>
                    </w:rPr>
                  </w:pPr>
                  <w:r>
                    <w:rPr>
                      <w:rFonts w:hint="eastAsia"/>
                      <w:lang w:eastAsia="zh-CN"/>
                    </w:rPr>
                    <w:t>3</w:t>
                  </w:r>
                  <w:r>
                    <w:rPr>
                      <w:lang w:eastAsia="zh-CN"/>
                    </w:rPr>
                    <w:t>00</w:t>
                  </w:r>
                  <w:r>
                    <w:rPr>
                      <w:rFonts w:hint="eastAsia"/>
                      <w:lang w:eastAsia="zh-CN"/>
                    </w:rPr>
                    <w:t>人</w:t>
                  </w:r>
                </w:p>
              </w:tc>
              <w:tc>
                <w:tcPr>
                  <w:tcW w:w="470" w:type="pct"/>
                  <w:vAlign w:val="center"/>
                </w:tcPr>
                <w:p>
                  <w:pPr>
                    <w:pStyle w:val="56"/>
                    <w:rPr>
                      <w:lang w:eastAsia="zh-CN"/>
                    </w:rPr>
                  </w:pPr>
                  <w:r>
                    <w:rPr>
                      <w:rFonts w:hint="eastAsia"/>
                      <w:lang w:eastAsia="zh-CN"/>
                    </w:rPr>
                    <w:t>北</w:t>
                  </w:r>
                </w:p>
              </w:tc>
              <w:tc>
                <w:tcPr>
                  <w:tcW w:w="551" w:type="pct"/>
                  <w:vAlign w:val="center"/>
                </w:tcPr>
                <w:p>
                  <w:pPr>
                    <w:pStyle w:val="56"/>
                    <w:rPr>
                      <w:lang w:eastAsia="zh-CN"/>
                    </w:rPr>
                  </w:pPr>
                  <w:r>
                    <w:rPr>
                      <w:rFonts w:hint="eastAsia"/>
                      <w:lang w:eastAsia="zh-CN"/>
                    </w:rPr>
                    <w:t>9</w:t>
                  </w:r>
                </w:p>
              </w:tc>
              <w:tc>
                <w:tcPr>
                  <w:tcW w:w="682"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1" w:type="pct"/>
                  <w:vAlign w:val="center"/>
                </w:tcPr>
                <w:p>
                  <w:pPr>
                    <w:pStyle w:val="56"/>
                  </w:pPr>
                  <w:r>
                    <w:rPr>
                      <w:rFonts w:hint="eastAsia"/>
                      <w:lang w:eastAsia="zh-CN"/>
                    </w:rPr>
                    <w:t>声环境</w:t>
                  </w:r>
                </w:p>
              </w:tc>
              <w:tc>
                <w:tcPr>
                  <w:tcW w:w="737" w:type="pct"/>
                  <w:vAlign w:val="center"/>
                </w:tcPr>
                <w:p>
                  <w:pPr>
                    <w:pStyle w:val="56"/>
                  </w:pPr>
                  <w:r>
                    <w:rPr>
                      <w:rFonts w:hint="eastAsia"/>
                      <w:lang w:eastAsia="zh-CN"/>
                    </w:rPr>
                    <w:t>圆梦园</w:t>
                  </w:r>
                </w:p>
              </w:tc>
              <w:tc>
                <w:tcPr>
                  <w:tcW w:w="458" w:type="pct"/>
                  <w:vAlign w:val="center"/>
                </w:tcPr>
                <w:p>
                  <w:pPr>
                    <w:pStyle w:val="56"/>
                    <w:rPr>
                      <w:lang w:eastAsia="zh-CN"/>
                    </w:rPr>
                  </w:pPr>
                  <w:r>
                    <w:rPr>
                      <w:rFonts w:hint="eastAsia"/>
                      <w:lang w:eastAsia="zh-CN"/>
                    </w:rPr>
                    <w:t>0</w:t>
                  </w:r>
                </w:p>
              </w:tc>
              <w:tc>
                <w:tcPr>
                  <w:tcW w:w="459" w:type="pct"/>
                  <w:vAlign w:val="center"/>
                </w:tcPr>
                <w:p>
                  <w:pPr>
                    <w:pStyle w:val="56"/>
                    <w:rPr>
                      <w:lang w:eastAsia="zh-CN"/>
                    </w:rPr>
                  </w:pPr>
                  <w:r>
                    <w:rPr>
                      <w:rFonts w:hint="eastAsia"/>
                      <w:lang w:eastAsia="zh-CN"/>
                    </w:rPr>
                    <w:t>9</w:t>
                  </w:r>
                </w:p>
              </w:tc>
              <w:tc>
                <w:tcPr>
                  <w:tcW w:w="560" w:type="pct"/>
                  <w:vAlign w:val="center"/>
                </w:tcPr>
                <w:p>
                  <w:pPr>
                    <w:pStyle w:val="56"/>
                  </w:pPr>
                  <w:r>
                    <w:rPr>
                      <w:rFonts w:hint="eastAsia"/>
                      <w:lang w:eastAsia="zh-CN"/>
                    </w:rPr>
                    <w:t>居民点</w:t>
                  </w:r>
                </w:p>
              </w:tc>
              <w:tc>
                <w:tcPr>
                  <w:tcW w:w="542" w:type="pct"/>
                  <w:vAlign w:val="center"/>
                </w:tcPr>
                <w:p>
                  <w:pPr>
                    <w:pStyle w:val="56"/>
                    <w:rPr>
                      <w:lang w:eastAsia="zh-CN"/>
                    </w:rPr>
                  </w:pPr>
                  <w:r>
                    <w:rPr>
                      <w:rFonts w:hint="eastAsia"/>
                      <w:lang w:eastAsia="zh-CN"/>
                    </w:rPr>
                    <w:t>3</w:t>
                  </w:r>
                  <w:r>
                    <w:rPr>
                      <w:lang w:eastAsia="zh-CN"/>
                    </w:rPr>
                    <w:t>00</w:t>
                  </w:r>
                  <w:r>
                    <w:rPr>
                      <w:rFonts w:hint="eastAsia"/>
                      <w:lang w:eastAsia="zh-CN"/>
                    </w:rPr>
                    <w:t>人</w:t>
                  </w:r>
                </w:p>
              </w:tc>
              <w:tc>
                <w:tcPr>
                  <w:tcW w:w="470" w:type="pct"/>
                  <w:vAlign w:val="center"/>
                </w:tcPr>
                <w:p>
                  <w:pPr>
                    <w:pStyle w:val="56"/>
                    <w:rPr>
                      <w:lang w:eastAsia="zh-CN"/>
                    </w:rPr>
                  </w:pPr>
                  <w:r>
                    <w:rPr>
                      <w:rFonts w:hint="eastAsia"/>
                      <w:lang w:eastAsia="zh-CN"/>
                    </w:rPr>
                    <w:t>北</w:t>
                  </w:r>
                </w:p>
              </w:tc>
              <w:tc>
                <w:tcPr>
                  <w:tcW w:w="551" w:type="pct"/>
                  <w:vAlign w:val="center"/>
                </w:tcPr>
                <w:p>
                  <w:pPr>
                    <w:pStyle w:val="56"/>
                  </w:pPr>
                  <w:r>
                    <w:rPr>
                      <w:rFonts w:hint="eastAsia"/>
                    </w:rPr>
                    <w:t>9</w:t>
                  </w:r>
                </w:p>
              </w:tc>
              <w:tc>
                <w:tcPr>
                  <w:tcW w:w="682" w:type="pct"/>
                  <w:vAlign w:val="center"/>
                </w:tcPr>
                <w:p>
                  <w:pPr>
                    <w:pStyle w:val="56"/>
                  </w:pPr>
                  <w:r>
                    <w:t>GB3096-2008</w:t>
                  </w:r>
                </w:p>
                <w:p>
                  <w:pPr>
                    <w:pStyle w:val="56"/>
                  </w:pPr>
                  <w: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1" w:type="pct"/>
                  <w:vAlign w:val="center"/>
                </w:tcPr>
                <w:p>
                  <w:pPr>
                    <w:pStyle w:val="56"/>
                  </w:pPr>
                  <w:r>
                    <w:t>地下水环境</w:t>
                  </w:r>
                </w:p>
              </w:tc>
              <w:tc>
                <w:tcPr>
                  <w:tcW w:w="3777" w:type="pct"/>
                  <w:gridSpan w:val="7"/>
                  <w:vAlign w:val="center"/>
                </w:tcPr>
                <w:p>
                  <w:pPr>
                    <w:pStyle w:val="56"/>
                  </w:pPr>
                  <w:r>
                    <w:t>本项目厂界500米范围内无地下水集中式饮用水水源和热水、矿泉水、温泉等水资源</w:t>
                  </w:r>
                </w:p>
              </w:tc>
              <w:tc>
                <w:tcPr>
                  <w:tcW w:w="682" w:type="pct"/>
                  <w:vAlign w:val="center"/>
                </w:tcPr>
                <w:p>
                  <w:pPr>
                    <w:pStyle w:val="5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1" w:type="pct"/>
                  <w:vAlign w:val="center"/>
                </w:tcPr>
                <w:p>
                  <w:pPr>
                    <w:pStyle w:val="56"/>
                  </w:pPr>
                  <w:r>
                    <w:t>生态环境</w:t>
                  </w:r>
                </w:p>
              </w:tc>
              <w:tc>
                <w:tcPr>
                  <w:tcW w:w="3777" w:type="pct"/>
                  <w:gridSpan w:val="7"/>
                  <w:vAlign w:val="center"/>
                </w:tcPr>
                <w:p>
                  <w:pPr>
                    <w:pStyle w:val="56"/>
                  </w:pPr>
                  <w:r>
                    <w:t>项目</w:t>
                  </w:r>
                  <w:r>
                    <w:rPr>
                      <w:rFonts w:hint="eastAsia"/>
                    </w:rPr>
                    <w:t>无</w:t>
                  </w:r>
                  <w:r>
                    <w:t>新增用地</w:t>
                  </w:r>
                  <w:r>
                    <w:rPr>
                      <w:rFonts w:hint="eastAsia"/>
                    </w:rPr>
                    <w:t>且</w:t>
                  </w:r>
                  <w:r>
                    <w:t>范围内无珍稀动植物和古、大、珍、奇树种等生态保护目标</w:t>
                  </w:r>
                </w:p>
              </w:tc>
              <w:tc>
                <w:tcPr>
                  <w:tcW w:w="682" w:type="pct"/>
                  <w:vAlign w:val="center"/>
                </w:tcPr>
                <w:p>
                  <w:pPr>
                    <w:pStyle w:val="56"/>
                    <w:rPr>
                      <w:lang w:eastAsia="zh-CN"/>
                    </w:rPr>
                  </w:pPr>
                  <w:r>
                    <w:rPr>
                      <w:rFonts w:hint="eastAsia"/>
                      <w:lang w:eastAsia="zh-CN"/>
                    </w:rPr>
                    <w:t>/</w:t>
                  </w:r>
                </w:p>
              </w:tc>
            </w:tr>
          </w:tbl>
          <w:p>
            <w:pPr>
              <w:ind w:firstLine="480"/>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18" w:hRule="atLeast"/>
          <w:jc w:val="center"/>
        </w:trPr>
        <w:tc>
          <w:tcPr>
            <w:tcW w:w="1335" w:type="dxa"/>
            <w:vAlign w:val="center"/>
          </w:tcPr>
          <w:p>
            <w:pPr>
              <w:spacing w:line="240" w:lineRule="auto"/>
              <w:ind w:firstLine="0" w:firstLineChars="0"/>
              <w:jc w:val="center"/>
            </w:pPr>
            <w:r>
              <w:rPr>
                <w:rFonts w:hint="eastAsia"/>
              </w:rPr>
              <w:t>污染物排放控制标准</w:t>
            </w:r>
          </w:p>
        </w:tc>
        <w:tc>
          <w:tcPr>
            <w:tcW w:w="7535" w:type="dxa"/>
          </w:tcPr>
          <w:p>
            <w:pPr>
              <w:pStyle w:val="3"/>
              <w:rPr>
                <w:lang w:eastAsia="zh-CN"/>
              </w:rPr>
            </w:pPr>
            <w:bookmarkStart w:id="94" w:name="_Toc120889811"/>
            <w:bookmarkStart w:id="95" w:name="_Toc121147740"/>
            <w:bookmarkStart w:id="96" w:name="_Toc122338508"/>
            <w:r>
              <w:rPr>
                <w:rFonts w:hint="eastAsia"/>
                <w:lang w:eastAsia="zh-CN"/>
              </w:rPr>
              <w:t>污染物排放标准</w:t>
            </w:r>
            <w:bookmarkEnd w:id="94"/>
            <w:bookmarkEnd w:id="95"/>
            <w:bookmarkEnd w:id="96"/>
          </w:p>
          <w:p>
            <w:pPr>
              <w:pStyle w:val="4"/>
              <w:rPr>
                <w:lang w:eastAsia="zh-CN"/>
              </w:rPr>
            </w:pPr>
            <w:bookmarkStart w:id="97" w:name="_Toc120889812"/>
            <w:bookmarkStart w:id="98" w:name="_Toc121147741"/>
            <w:bookmarkStart w:id="99" w:name="_Toc122338509"/>
            <w:r>
              <w:rPr>
                <w:rFonts w:hint="eastAsia"/>
                <w:lang w:eastAsia="zh-CN"/>
              </w:rPr>
              <w:t>大气污染物排放标准</w:t>
            </w:r>
            <w:bookmarkEnd w:id="97"/>
            <w:bookmarkEnd w:id="98"/>
            <w:bookmarkEnd w:id="99"/>
          </w:p>
          <w:p>
            <w:pPr>
              <w:ind w:firstLine="480"/>
              <w:rPr>
                <w:lang w:val="zh-CN"/>
              </w:rPr>
            </w:pPr>
            <w:r>
              <w:rPr>
                <w:rFonts w:hint="eastAsia"/>
                <w:lang w:val="zh-CN"/>
              </w:rPr>
              <w:t>本项目各检验室中产生的废气经风机收集后引至天台的废气处理设施处理达标后，通过</w:t>
            </w:r>
            <w:r>
              <w:rPr>
                <w:lang w:val="zh-CN"/>
              </w:rPr>
              <w:t>20</w:t>
            </w:r>
            <w:r>
              <w:rPr>
                <w:rFonts w:hint="eastAsia"/>
                <w:lang w:val="zh-CN"/>
              </w:rPr>
              <w:t>米排气筒排放。项目实验操作均在生物安全柜中进行，实验过程产生的废气经生物安全柜自带的高效过滤器处理后通过无组织排放至实验室内，实验室废气再经风机收集后引至天台，其中PCR实验室、NGS实验室中的废气收集后引至天台后经高效过滤措施处理达标后通过2</w:t>
            </w:r>
            <w:r>
              <w:rPr>
                <w:lang w:val="zh-CN"/>
              </w:rPr>
              <w:t>0</w:t>
            </w:r>
            <w:r>
              <w:rPr>
                <w:rFonts w:hint="eastAsia"/>
                <w:lang w:val="zh-CN"/>
              </w:rPr>
              <w:t>米排气筒排放，微生物前处理室、粪便分析室病例预留室中的废气经风机收集后通过排气筒引至天台经活性炭处理措施处理达标后通过2</w:t>
            </w:r>
            <w:r>
              <w:rPr>
                <w:lang w:val="zh-CN"/>
              </w:rPr>
              <w:t>0</w:t>
            </w:r>
            <w:r>
              <w:rPr>
                <w:rFonts w:hint="eastAsia"/>
                <w:lang w:val="zh-CN"/>
              </w:rPr>
              <w:t>米排气筒排放。</w:t>
            </w:r>
          </w:p>
          <w:p>
            <w:pPr>
              <w:ind w:firstLine="480"/>
            </w:pPr>
            <w:r>
              <w:rPr>
                <w:rFonts w:hint="eastAsia"/>
                <w:lang w:val="zh-CN"/>
              </w:rPr>
              <w:t>项目废气污染物主要是实验过程产生的非甲烷总烃，废水处理过程产生的氨、硫化氢、臭气浓度。非甲烷总烃有组织废气排放执行广东省地方标准《大气污染物排放限值》（DB 44/27-2001）中第二时段二级标准与《固定污染源挥发性有机物综合排放标准》（</w:t>
            </w:r>
            <w:r>
              <w:rPr>
                <w:lang w:val="zh-CN"/>
              </w:rPr>
              <w:t>DB44/ 2367—2022</w:t>
            </w:r>
            <w:r>
              <w:rPr>
                <w:rFonts w:hint="eastAsia"/>
                <w:lang w:val="zh-CN"/>
              </w:rPr>
              <w:t>）较严值，厂界无组织废气排放执行</w:t>
            </w:r>
            <w:r>
              <w:rPr>
                <w:rFonts w:hint="eastAsia"/>
              </w:rPr>
              <w:t>广东省地方标准《大气污染物排放限值》（DB44/27-2001）</w:t>
            </w:r>
            <w:r>
              <w:rPr>
                <w:rFonts w:hint="eastAsia"/>
                <w:spacing w:val="8"/>
                <w:szCs w:val="32"/>
                <w:lang w:bidi="ar"/>
              </w:rPr>
              <w:t>无组织排放监控点浓度限值要求，厂内</w:t>
            </w:r>
            <w:r>
              <w:rPr>
                <w:rFonts w:hint="eastAsia"/>
                <w:lang w:val="zh-CN"/>
              </w:rPr>
              <w:t>无组织排放执行《挥发性有机物无组织排放控制标准》（GB 37822-2019）表 A1 中特别排放限值</w:t>
            </w:r>
            <w:r>
              <w:rPr>
                <w:rFonts w:hint="eastAsia"/>
              </w:rPr>
              <w:t>与《固定污染源挥发性有机物综合排放标准》（DB44/ 2367—2022）较严值</w:t>
            </w:r>
            <w:r>
              <w:rPr>
                <w:rFonts w:hint="eastAsia"/>
                <w:lang w:val="zh-CN"/>
              </w:rPr>
              <w:t>。</w:t>
            </w:r>
            <w:r>
              <w:rPr>
                <w:rFonts w:hint="eastAsia"/>
              </w:rPr>
              <w:t>污水站运营产生的氨、硫化氢、臭气浓度执行《医疗机构水污染物排放标准》（GB18466-2005）表3污水处理站周边大气污染物最高允许浓度。</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项目大气污染物排放限值</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630"/>
              <w:gridCol w:w="133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pct"/>
                  <w:vAlign w:val="center"/>
                </w:tcPr>
                <w:p>
                  <w:pPr>
                    <w:pStyle w:val="66"/>
                    <w:spacing w:before="24" w:after="24"/>
                  </w:pPr>
                  <w:r>
                    <w:rPr>
                      <w:rFonts w:hint="eastAsia"/>
                    </w:rPr>
                    <w:t>污染物项目</w:t>
                  </w:r>
                </w:p>
              </w:tc>
              <w:tc>
                <w:tcPr>
                  <w:tcW w:w="1066" w:type="pct"/>
                  <w:vAlign w:val="center"/>
                </w:tcPr>
                <w:p>
                  <w:pPr>
                    <w:pStyle w:val="66"/>
                    <w:spacing w:before="24" w:after="24"/>
                  </w:pPr>
                  <w:r>
                    <w:rPr>
                      <w:rFonts w:hint="eastAsia"/>
                      <w:lang w:eastAsia="zh-CN"/>
                    </w:rPr>
                    <w:t>有</w:t>
                  </w:r>
                  <w:r>
                    <w:rPr>
                      <w:rFonts w:hint="eastAsia"/>
                    </w:rPr>
                    <w:t>组织排放监控点浓度限值（mg/m</w:t>
                  </w:r>
                  <w:r>
                    <w:rPr>
                      <w:rFonts w:hint="eastAsia"/>
                      <w:vertAlign w:val="superscript"/>
                    </w:rPr>
                    <w:t>3</w:t>
                  </w:r>
                  <w:r>
                    <w:rPr>
                      <w:rFonts w:hint="eastAsia"/>
                    </w:rPr>
                    <w:t>）</w:t>
                  </w:r>
                </w:p>
              </w:tc>
              <w:tc>
                <w:tcPr>
                  <w:tcW w:w="873" w:type="pct"/>
                  <w:vAlign w:val="center"/>
                </w:tcPr>
                <w:p>
                  <w:pPr>
                    <w:pStyle w:val="66"/>
                    <w:spacing w:before="24" w:after="24"/>
                  </w:pPr>
                  <w:r>
                    <w:rPr>
                      <w:rFonts w:hint="eastAsia"/>
                      <w:lang w:eastAsia="zh-CN"/>
                    </w:rPr>
                    <w:t>排放速率（kg/h）</w:t>
                  </w:r>
                </w:p>
              </w:tc>
              <w:tc>
                <w:tcPr>
                  <w:tcW w:w="2410" w:type="pct"/>
                  <w:vAlign w:val="center"/>
                </w:tcPr>
                <w:p>
                  <w:pPr>
                    <w:pStyle w:val="66"/>
                    <w:spacing w:before="24" w:after="24"/>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pct"/>
                  <w:vAlign w:val="center"/>
                </w:tcPr>
                <w:p>
                  <w:pPr>
                    <w:pStyle w:val="66"/>
                    <w:spacing w:before="24" w:after="24"/>
                  </w:pPr>
                  <w:r>
                    <w:rPr>
                      <w:rFonts w:hint="eastAsia"/>
                      <w:lang w:eastAsia="zh-CN"/>
                    </w:rPr>
                    <w:t>非甲烷总烃</w:t>
                  </w:r>
                </w:p>
              </w:tc>
              <w:tc>
                <w:tcPr>
                  <w:tcW w:w="1066" w:type="pct"/>
                  <w:vAlign w:val="center"/>
                </w:tcPr>
                <w:p>
                  <w:pPr>
                    <w:pStyle w:val="66"/>
                    <w:spacing w:before="24" w:after="24"/>
                    <w:rPr>
                      <w:lang w:eastAsia="zh-CN"/>
                    </w:rPr>
                  </w:pPr>
                  <w:r>
                    <w:rPr>
                      <w:lang w:eastAsia="zh-CN"/>
                    </w:rPr>
                    <w:t>80</w:t>
                  </w:r>
                </w:p>
              </w:tc>
              <w:tc>
                <w:tcPr>
                  <w:tcW w:w="873" w:type="pct"/>
                  <w:vAlign w:val="center"/>
                </w:tcPr>
                <w:p>
                  <w:pPr>
                    <w:pStyle w:val="66"/>
                    <w:spacing w:before="24" w:after="24"/>
                    <w:rPr>
                      <w:lang w:eastAsia="zh-CN"/>
                    </w:rPr>
                  </w:pPr>
                  <w:r>
                    <w:rPr>
                      <w:rFonts w:hint="eastAsia"/>
                      <w:lang w:eastAsia="zh-CN"/>
                    </w:rPr>
                    <w:t>7</w:t>
                  </w:r>
                </w:p>
              </w:tc>
              <w:tc>
                <w:tcPr>
                  <w:tcW w:w="2410" w:type="pct"/>
                  <w:vAlign w:val="center"/>
                </w:tcPr>
                <w:p>
                  <w:pPr>
                    <w:pStyle w:val="66"/>
                    <w:spacing w:before="24" w:after="24"/>
                  </w:pPr>
                  <w:r>
                    <w:rPr>
                      <w:rFonts w:hint="eastAsia"/>
                    </w:rPr>
                    <w:t>广东省地方标准《大气污染物排放限值》（DB44/27-2001）第二时段二级标准与《固定污染源挥发性有机物综合排放标准》（DB44/ 2367—2022）较严值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vAlign w:val="center"/>
                </w:tcPr>
                <w:p>
                  <w:pPr>
                    <w:pStyle w:val="66"/>
                    <w:spacing w:before="24" w:after="24"/>
                    <w:jc w:val="both"/>
                    <w:rPr>
                      <w:lang w:eastAsia="zh-CN"/>
                    </w:rPr>
                  </w:pPr>
                  <w:r>
                    <w:rPr>
                      <w:rFonts w:hint="eastAsia"/>
                      <w:lang w:eastAsia="zh-CN"/>
                    </w:rPr>
                    <w:t>注：由于项目废气排放高度未</w:t>
                  </w:r>
                  <w:r>
                    <w:t>高出周围200 m半径范围的建筑5 m以上，</w:t>
                  </w:r>
                  <w:r>
                    <w:rPr>
                      <w:rFonts w:hint="eastAsia"/>
                    </w:rPr>
                    <w:t>应按其高度对应的排放速率限值的50％执行</w:t>
                  </w:r>
                  <w:r>
                    <w:rPr>
                      <w:rFonts w:hint="eastAsia"/>
                      <w:lang w:eastAsia="zh-CN"/>
                    </w:rPr>
                    <w:t>。</w:t>
                  </w:r>
                </w:p>
              </w:tc>
            </w:tr>
          </w:tbl>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项目无组织废气污染物排放限值</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631"/>
              <w:gridCol w:w="4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Align w:val="center"/>
                </w:tcPr>
                <w:p>
                  <w:pPr>
                    <w:pStyle w:val="66"/>
                    <w:spacing w:before="24" w:after="24"/>
                  </w:pPr>
                  <w:r>
                    <w:rPr>
                      <w:rFonts w:hint="eastAsia"/>
                    </w:rPr>
                    <w:t>污染物项目</w:t>
                  </w:r>
                </w:p>
              </w:tc>
              <w:tc>
                <w:tcPr>
                  <w:tcW w:w="1067" w:type="pct"/>
                  <w:vAlign w:val="center"/>
                </w:tcPr>
                <w:p>
                  <w:pPr>
                    <w:pStyle w:val="66"/>
                    <w:spacing w:before="24" w:after="24"/>
                  </w:pPr>
                  <w:r>
                    <w:rPr>
                      <w:rFonts w:hint="eastAsia"/>
                    </w:rPr>
                    <w:t>无组织排放监控点浓度限值（mg/m</w:t>
                  </w:r>
                  <w:r>
                    <w:rPr>
                      <w:rFonts w:hint="eastAsia"/>
                      <w:vertAlign w:val="superscript"/>
                    </w:rPr>
                    <w:t>3</w:t>
                  </w:r>
                  <w:r>
                    <w:rPr>
                      <w:rFonts w:hint="eastAsia"/>
                    </w:rPr>
                    <w:t>）</w:t>
                  </w:r>
                </w:p>
              </w:tc>
              <w:tc>
                <w:tcPr>
                  <w:tcW w:w="3185" w:type="pct"/>
                  <w:vAlign w:val="center"/>
                </w:tcPr>
                <w:p>
                  <w:pPr>
                    <w:pStyle w:val="66"/>
                    <w:spacing w:before="24" w:after="24"/>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Align w:val="center"/>
                </w:tcPr>
                <w:p>
                  <w:pPr>
                    <w:pStyle w:val="66"/>
                    <w:spacing w:before="24" w:after="24"/>
                  </w:pPr>
                  <w:r>
                    <w:rPr>
                      <w:rFonts w:hint="eastAsia"/>
                      <w:lang w:eastAsia="zh-CN"/>
                    </w:rPr>
                    <w:t>非甲烷总烃</w:t>
                  </w:r>
                </w:p>
              </w:tc>
              <w:tc>
                <w:tcPr>
                  <w:tcW w:w="1067" w:type="pct"/>
                  <w:vAlign w:val="center"/>
                </w:tcPr>
                <w:p>
                  <w:pPr>
                    <w:pStyle w:val="66"/>
                    <w:spacing w:before="24" w:after="24"/>
                  </w:pPr>
                  <w:r>
                    <w:t>4</w:t>
                  </w:r>
                  <w:r>
                    <w:rPr>
                      <w:rFonts w:hint="eastAsia"/>
                    </w:rPr>
                    <w:t>.0</w:t>
                  </w:r>
                </w:p>
              </w:tc>
              <w:tc>
                <w:tcPr>
                  <w:tcW w:w="3185" w:type="pct"/>
                  <w:vAlign w:val="center"/>
                </w:tcPr>
                <w:p>
                  <w:pPr>
                    <w:pStyle w:val="66"/>
                    <w:spacing w:before="24" w:after="24"/>
                  </w:pPr>
                  <w:r>
                    <w:rPr>
                      <w:rFonts w:hint="eastAsia"/>
                    </w:rPr>
                    <w:t>广东省地方标准《大气污染物排放限值》（DB44/27-2001）</w:t>
                  </w:r>
                  <w:r>
                    <w:rPr>
                      <w:rFonts w:hint="eastAsia"/>
                      <w:spacing w:val="8"/>
                      <w:szCs w:val="32"/>
                      <w:lang w:bidi="ar"/>
                    </w:rPr>
                    <w:t>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Align w:val="center"/>
                </w:tcPr>
                <w:p>
                  <w:pPr>
                    <w:pStyle w:val="66"/>
                    <w:spacing w:before="24" w:after="24"/>
                  </w:pPr>
                  <w:r>
                    <w:rPr>
                      <w:rFonts w:hint="eastAsia"/>
                    </w:rPr>
                    <w:t>氨</w:t>
                  </w:r>
                </w:p>
              </w:tc>
              <w:tc>
                <w:tcPr>
                  <w:tcW w:w="1067" w:type="pct"/>
                  <w:vAlign w:val="center"/>
                </w:tcPr>
                <w:p>
                  <w:pPr>
                    <w:pStyle w:val="66"/>
                    <w:spacing w:before="24" w:after="24"/>
                  </w:pPr>
                  <w:r>
                    <w:rPr>
                      <w:rFonts w:hint="eastAsia"/>
                    </w:rPr>
                    <w:t>1</w:t>
                  </w:r>
                </w:p>
              </w:tc>
              <w:tc>
                <w:tcPr>
                  <w:tcW w:w="3185" w:type="pct"/>
                  <w:vMerge w:val="restart"/>
                  <w:vAlign w:val="center"/>
                </w:tcPr>
                <w:p>
                  <w:pPr>
                    <w:pStyle w:val="66"/>
                    <w:spacing w:before="24" w:after="24"/>
                  </w:pPr>
                  <w:r>
                    <w:rPr>
                      <w:rFonts w:hint="eastAsia"/>
                    </w:rPr>
                    <w:t>《医疗机构水污染物排放标准》（GB18466-2005）表3污水处理站周边大气污染物最高允许浓度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Align w:val="center"/>
                </w:tcPr>
                <w:p>
                  <w:pPr>
                    <w:pStyle w:val="66"/>
                    <w:spacing w:before="24" w:after="24"/>
                  </w:pPr>
                  <w:r>
                    <w:rPr>
                      <w:rFonts w:hint="eastAsia"/>
                    </w:rPr>
                    <w:t>硫化氢</w:t>
                  </w:r>
                </w:p>
              </w:tc>
              <w:tc>
                <w:tcPr>
                  <w:tcW w:w="1067" w:type="pct"/>
                  <w:vAlign w:val="center"/>
                </w:tcPr>
                <w:p>
                  <w:pPr>
                    <w:pStyle w:val="66"/>
                    <w:spacing w:before="24" w:after="24"/>
                  </w:pPr>
                  <w:r>
                    <w:rPr>
                      <w:rFonts w:hint="eastAsia"/>
                    </w:rPr>
                    <w:t>0.03</w:t>
                  </w:r>
                </w:p>
              </w:tc>
              <w:tc>
                <w:tcPr>
                  <w:tcW w:w="3185"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Align w:val="center"/>
                </w:tcPr>
                <w:p>
                  <w:pPr>
                    <w:pStyle w:val="66"/>
                    <w:spacing w:before="24" w:after="24"/>
                  </w:pPr>
                  <w:r>
                    <w:rPr>
                      <w:rFonts w:hint="eastAsia"/>
                    </w:rPr>
                    <w:t>臭气浓度</w:t>
                  </w:r>
                </w:p>
              </w:tc>
              <w:tc>
                <w:tcPr>
                  <w:tcW w:w="1067" w:type="pct"/>
                  <w:vAlign w:val="center"/>
                </w:tcPr>
                <w:p>
                  <w:pPr>
                    <w:pStyle w:val="66"/>
                    <w:spacing w:before="24" w:after="24"/>
                  </w:pPr>
                  <w:r>
                    <w:rPr>
                      <w:rFonts w:hint="eastAsia"/>
                    </w:rPr>
                    <w:t>10（无量纲）</w:t>
                  </w:r>
                </w:p>
              </w:tc>
              <w:tc>
                <w:tcPr>
                  <w:tcW w:w="3185"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Align w:val="center"/>
                </w:tcPr>
                <w:p>
                  <w:pPr>
                    <w:pStyle w:val="66"/>
                    <w:spacing w:before="24" w:after="24"/>
                  </w:pPr>
                  <w:r>
                    <w:rPr>
                      <w:rFonts w:hint="eastAsia"/>
                      <w:lang w:eastAsia="zh-CN"/>
                    </w:rPr>
                    <w:t>氯气</w:t>
                  </w:r>
                </w:p>
              </w:tc>
              <w:tc>
                <w:tcPr>
                  <w:tcW w:w="1067" w:type="pct"/>
                  <w:vAlign w:val="center"/>
                </w:tcPr>
                <w:p>
                  <w:pPr>
                    <w:pStyle w:val="66"/>
                    <w:spacing w:before="24" w:after="24"/>
                    <w:rPr>
                      <w:lang w:eastAsia="zh-CN"/>
                    </w:rPr>
                  </w:pPr>
                  <w:r>
                    <w:rPr>
                      <w:rFonts w:hint="eastAsia"/>
                      <w:lang w:eastAsia="zh-CN"/>
                    </w:rPr>
                    <w:t>0</w:t>
                  </w:r>
                  <w:r>
                    <w:rPr>
                      <w:lang w:eastAsia="zh-CN"/>
                    </w:rPr>
                    <w:t>.1</w:t>
                  </w:r>
                </w:p>
              </w:tc>
              <w:tc>
                <w:tcPr>
                  <w:tcW w:w="3185"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Align w:val="center"/>
                </w:tcPr>
                <w:p>
                  <w:pPr>
                    <w:pStyle w:val="66"/>
                    <w:spacing w:before="24" w:after="24"/>
                  </w:pPr>
                  <w:r>
                    <w:rPr>
                      <w:rFonts w:hint="eastAsia"/>
                      <w:lang w:eastAsia="zh-CN"/>
                    </w:rPr>
                    <w:t>甲烷</w:t>
                  </w:r>
                </w:p>
              </w:tc>
              <w:tc>
                <w:tcPr>
                  <w:tcW w:w="1067" w:type="pct"/>
                  <w:vAlign w:val="center"/>
                </w:tcPr>
                <w:p>
                  <w:pPr>
                    <w:pStyle w:val="66"/>
                    <w:spacing w:before="24" w:after="24"/>
                  </w:pPr>
                  <w:r>
                    <w:rPr>
                      <w:rFonts w:hint="eastAsia"/>
                      <w:lang w:eastAsia="zh-CN"/>
                    </w:rPr>
                    <w:t>1（</w:t>
                  </w:r>
                  <w:r>
                    <w:rPr>
                      <w:rFonts w:hint="eastAsia"/>
                    </w:rPr>
                    <w:t>指处理站内最高体积百分数/%</w:t>
                  </w:r>
                  <w:r>
                    <w:rPr>
                      <w:rFonts w:hint="eastAsia"/>
                      <w:lang w:eastAsia="zh-CN"/>
                    </w:rPr>
                    <w:t>）</w:t>
                  </w:r>
                </w:p>
              </w:tc>
              <w:tc>
                <w:tcPr>
                  <w:tcW w:w="3185" w:type="pct"/>
                  <w:vMerge w:val="continue"/>
                  <w:vAlign w:val="center"/>
                </w:tcPr>
                <w:p>
                  <w:pPr>
                    <w:pStyle w:val="66"/>
                    <w:spacing w:before="24" w:after="24"/>
                  </w:pPr>
                </w:p>
              </w:tc>
            </w:tr>
          </w:tbl>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项目厂内无组织排放标准</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344"/>
              <w:gridCol w:w="2831"/>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vAlign w:val="center"/>
                </w:tcPr>
                <w:p>
                  <w:pPr>
                    <w:pStyle w:val="66"/>
                  </w:pPr>
                  <w:r>
                    <w:rPr>
                      <w:rFonts w:hint="eastAsia"/>
                    </w:rPr>
                    <w:t>污染物项目</w:t>
                  </w:r>
                </w:p>
              </w:tc>
              <w:tc>
                <w:tcPr>
                  <w:tcW w:w="879" w:type="pct"/>
                  <w:vAlign w:val="center"/>
                </w:tcPr>
                <w:p>
                  <w:pPr>
                    <w:pStyle w:val="66"/>
                  </w:pPr>
                  <w:r>
                    <w:rPr>
                      <w:rFonts w:hint="eastAsia"/>
                    </w:rPr>
                    <w:t>排放限值（</w:t>
                  </w:r>
                  <w:r>
                    <w:t>mg/m</w:t>
                  </w:r>
                  <w:r>
                    <w:rPr>
                      <w:vertAlign w:val="superscript"/>
                    </w:rPr>
                    <w:t>3</w:t>
                  </w:r>
                  <w:r>
                    <w:rPr>
                      <w:rFonts w:hint="eastAsia"/>
                    </w:rPr>
                    <w:t>）</w:t>
                  </w:r>
                </w:p>
              </w:tc>
              <w:tc>
                <w:tcPr>
                  <w:tcW w:w="1852" w:type="pct"/>
                  <w:vAlign w:val="center"/>
                </w:tcPr>
                <w:p>
                  <w:pPr>
                    <w:pStyle w:val="66"/>
                  </w:pPr>
                  <w:r>
                    <w:t>限值含义</w:t>
                  </w:r>
                </w:p>
              </w:tc>
              <w:tc>
                <w:tcPr>
                  <w:tcW w:w="1333" w:type="pct"/>
                  <w:vAlign w:val="center"/>
                </w:tcPr>
                <w:p>
                  <w:pPr>
                    <w:pStyle w:val="66"/>
                  </w:pPr>
                  <w: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vMerge w:val="restart"/>
                  <w:vAlign w:val="center"/>
                </w:tcPr>
                <w:p>
                  <w:pPr>
                    <w:pStyle w:val="66"/>
                  </w:pPr>
                  <w:r>
                    <w:rPr>
                      <w:rFonts w:hint="eastAsia"/>
                    </w:rPr>
                    <w:t>NMHC</w:t>
                  </w:r>
                </w:p>
              </w:tc>
              <w:tc>
                <w:tcPr>
                  <w:tcW w:w="879" w:type="pct"/>
                  <w:vAlign w:val="center"/>
                </w:tcPr>
                <w:p>
                  <w:pPr>
                    <w:pStyle w:val="66"/>
                  </w:pPr>
                  <w:r>
                    <w:rPr>
                      <w:rFonts w:hint="eastAsia"/>
                    </w:rPr>
                    <w:t>6</w:t>
                  </w:r>
                </w:p>
              </w:tc>
              <w:tc>
                <w:tcPr>
                  <w:tcW w:w="1852" w:type="pct"/>
                  <w:vAlign w:val="center"/>
                </w:tcPr>
                <w:p>
                  <w:pPr>
                    <w:pStyle w:val="66"/>
                  </w:pPr>
                  <w:r>
                    <w:t>监控点处1h平均浓度值</w:t>
                  </w:r>
                </w:p>
              </w:tc>
              <w:tc>
                <w:tcPr>
                  <w:tcW w:w="1333" w:type="pct"/>
                  <w:vMerge w:val="restart"/>
                  <w:vAlign w:val="center"/>
                </w:tcPr>
                <w:p>
                  <w:pPr>
                    <w:pStyle w:val="66"/>
                  </w:pPr>
                  <w:r>
                    <w:rPr>
                      <w:rFonts w:hint="eastAsia"/>
                    </w:rPr>
                    <w:t>在</w:t>
                  </w:r>
                  <w:r>
                    <w:rPr>
                      <w:rFonts w:hint="eastAsia"/>
                      <w:lang w:eastAsia="zh-CN"/>
                    </w:rPr>
                    <w:t>厂区内</w:t>
                  </w:r>
                  <w:r>
                    <w:rPr>
                      <w:rFonts w:hint="eastAsia"/>
                    </w:rPr>
                    <w:t>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vMerge w:val="continue"/>
                  <w:vAlign w:val="center"/>
                </w:tcPr>
                <w:p>
                  <w:pPr>
                    <w:pStyle w:val="66"/>
                  </w:pPr>
                </w:p>
              </w:tc>
              <w:tc>
                <w:tcPr>
                  <w:tcW w:w="879" w:type="pct"/>
                  <w:vAlign w:val="center"/>
                </w:tcPr>
                <w:p>
                  <w:pPr>
                    <w:pStyle w:val="66"/>
                  </w:pPr>
                  <w:r>
                    <w:rPr>
                      <w:rFonts w:hint="eastAsia"/>
                    </w:rPr>
                    <w:t>20</w:t>
                  </w:r>
                </w:p>
              </w:tc>
              <w:tc>
                <w:tcPr>
                  <w:tcW w:w="1852" w:type="pct"/>
                  <w:vAlign w:val="center"/>
                </w:tcPr>
                <w:p>
                  <w:pPr>
                    <w:pStyle w:val="66"/>
                  </w:pPr>
                  <w:r>
                    <w:t>监控点处任意一次浓度值</w:t>
                  </w:r>
                </w:p>
              </w:tc>
              <w:tc>
                <w:tcPr>
                  <w:tcW w:w="1333" w:type="pct"/>
                  <w:vMerge w:val="continue"/>
                  <w:vAlign w:val="center"/>
                </w:tcPr>
                <w:p>
                  <w:pPr>
                    <w:pStyle w:val="66"/>
                  </w:pPr>
                </w:p>
              </w:tc>
            </w:tr>
          </w:tbl>
          <w:p>
            <w:pPr>
              <w:pStyle w:val="56"/>
            </w:pPr>
          </w:p>
          <w:p>
            <w:pPr>
              <w:pStyle w:val="4"/>
              <w:rPr>
                <w:lang w:eastAsia="zh-CN"/>
              </w:rPr>
            </w:pPr>
            <w:bookmarkStart w:id="100" w:name="_Toc120889813"/>
            <w:bookmarkStart w:id="101" w:name="_Toc121147742"/>
            <w:bookmarkStart w:id="102" w:name="_Toc122338510"/>
            <w:r>
              <w:rPr>
                <w:rFonts w:hint="eastAsia"/>
                <w:lang w:eastAsia="zh-CN"/>
              </w:rPr>
              <w:t>水污染物排放标准</w:t>
            </w:r>
            <w:bookmarkEnd w:id="100"/>
            <w:bookmarkEnd w:id="101"/>
            <w:bookmarkEnd w:id="102"/>
          </w:p>
          <w:p>
            <w:pPr>
              <w:ind w:firstLine="480"/>
            </w:pPr>
            <w:r>
              <w:rPr>
                <w:rFonts w:hint="eastAsia"/>
                <w:lang w:val="zh-CN"/>
              </w:rPr>
              <w:t>本项目运营期废水包括生活废水及实验室废水，废水通过企业自建的污水处理站处理达标后通过园区管网排放至茂名高新技术产业开发区污水处理厂进行深度处理达标后排放至澳内海。</w:t>
            </w:r>
            <w:r>
              <w:rPr>
                <w:rFonts w:hint="eastAsia"/>
              </w:rPr>
              <w:t>项目产生废水污染物排放按照《医疗机构水污染物排放标准》（GB18466-2005）表2预处理标准及</w:t>
            </w:r>
            <w:r>
              <w:rPr>
                <w:rFonts w:hint="eastAsia"/>
                <w:lang w:val="zh-CN"/>
              </w:rPr>
              <w:t>茂名高新技术产业开发区污水处理厂</w:t>
            </w:r>
            <w:r>
              <w:rPr>
                <w:rFonts w:hint="eastAsia"/>
              </w:rPr>
              <w:t>进水指标较严值执行。</w:t>
            </w:r>
          </w:p>
          <w:p>
            <w:pPr>
              <w:pStyle w:val="55"/>
              <w:rPr>
                <w:lang w:eastAsia="zh-CN"/>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rPr>
                <w:rFonts w:hint="eastAsia"/>
              </w:rPr>
              <w:t>废水污染物排放标准</w:t>
            </w:r>
            <w:r>
              <w:rPr>
                <w:rFonts w:hint="eastAsia"/>
                <w:lang w:eastAsia="zh-CN"/>
              </w:rPr>
              <w:t xml:space="preserve"> </w:t>
            </w:r>
            <w:r>
              <w:rPr>
                <w:lang w:eastAsia="zh-CN"/>
              </w:rPr>
              <w:t xml:space="preserve"> </w:t>
            </w:r>
            <w:r>
              <w:rPr>
                <w:rFonts w:hint="eastAsia"/>
                <w:lang w:eastAsia="zh-CN"/>
              </w:rPr>
              <w:t>单位mg/L，</w:t>
            </w:r>
            <w:r>
              <w:rPr>
                <w:rFonts w:hint="eastAsia"/>
              </w:rPr>
              <w:t>pH值无量纲</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698"/>
              <w:gridCol w:w="796"/>
              <w:gridCol w:w="728"/>
              <w:gridCol w:w="542"/>
              <w:gridCol w:w="809"/>
              <w:gridCol w:w="1278"/>
              <w:gridCol w:w="426"/>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tcBorders>
                    <w:tl2br w:val="single" w:color="auto" w:sz="4" w:space="0"/>
                  </w:tcBorders>
                  <w:vAlign w:val="center"/>
                </w:tcPr>
                <w:p>
                  <w:pPr>
                    <w:pStyle w:val="66"/>
                    <w:jc w:val="right"/>
                  </w:pPr>
                  <w:r>
                    <w:t>项目</w:t>
                  </w:r>
                </w:p>
                <w:p>
                  <w:pPr>
                    <w:ind w:firstLine="0" w:firstLineChars="0"/>
                  </w:pPr>
                  <w:r>
                    <w:rPr>
                      <w:rFonts w:hint="eastAsia"/>
                      <w:kern w:val="0"/>
                      <w:sz w:val="21"/>
                      <w:szCs w:val="21"/>
                    </w:rPr>
                    <w:t>执行标准</w:t>
                  </w:r>
                </w:p>
              </w:tc>
              <w:tc>
                <w:tcPr>
                  <w:tcW w:w="509" w:type="pct"/>
                  <w:vAlign w:val="center"/>
                </w:tcPr>
                <w:p>
                  <w:pPr>
                    <w:pStyle w:val="66"/>
                  </w:pPr>
                  <w:r>
                    <w:t>pH</w:t>
                  </w:r>
                </w:p>
              </w:tc>
              <w:tc>
                <w:tcPr>
                  <w:tcW w:w="583" w:type="pct"/>
                  <w:vAlign w:val="center"/>
                </w:tcPr>
                <w:p>
                  <w:pPr>
                    <w:pStyle w:val="66"/>
                  </w:pPr>
                  <w:r>
                    <w:t>COD</w:t>
                  </w:r>
                  <w:r>
                    <w:rPr>
                      <w:rFonts w:hint="eastAsia"/>
                      <w:vertAlign w:val="subscript"/>
                    </w:rPr>
                    <w:t>Cr</w:t>
                  </w:r>
                </w:p>
              </w:tc>
              <w:tc>
                <w:tcPr>
                  <w:tcW w:w="530" w:type="pct"/>
                  <w:vAlign w:val="center"/>
                </w:tcPr>
                <w:p>
                  <w:pPr>
                    <w:pStyle w:val="66"/>
                  </w:pPr>
                  <w:r>
                    <w:t>BOD</w:t>
                  </w:r>
                  <w:r>
                    <w:rPr>
                      <w:vertAlign w:val="subscript"/>
                    </w:rPr>
                    <w:t>5</w:t>
                  </w:r>
                </w:p>
              </w:tc>
              <w:tc>
                <w:tcPr>
                  <w:tcW w:w="395" w:type="pct"/>
                  <w:vAlign w:val="center"/>
                </w:tcPr>
                <w:p>
                  <w:pPr>
                    <w:pStyle w:val="66"/>
                  </w:pPr>
                  <w:r>
                    <w:t>SS</w:t>
                  </w:r>
                </w:p>
              </w:tc>
              <w:tc>
                <w:tcPr>
                  <w:tcW w:w="480" w:type="pct"/>
                  <w:vAlign w:val="center"/>
                </w:tcPr>
                <w:p>
                  <w:pPr>
                    <w:pStyle w:val="66"/>
                  </w:pPr>
                  <w:r>
                    <w:t>NH</w:t>
                  </w:r>
                  <w:r>
                    <w:rPr>
                      <w:vertAlign w:val="subscript"/>
                    </w:rPr>
                    <w:t>3</w:t>
                  </w:r>
                  <w:r>
                    <w:t>-N</w:t>
                  </w:r>
                </w:p>
              </w:tc>
              <w:tc>
                <w:tcPr>
                  <w:tcW w:w="640" w:type="pct"/>
                  <w:vAlign w:val="center"/>
                </w:tcPr>
                <w:p>
                  <w:pPr>
                    <w:pStyle w:val="66"/>
                  </w:pPr>
                  <w:r>
                    <w:rPr>
                      <w:rFonts w:hint="eastAsia"/>
                    </w:rPr>
                    <w:t>粪大肠菌群</w:t>
                  </w:r>
                </w:p>
              </w:tc>
              <w:tc>
                <w:tcPr>
                  <w:tcW w:w="600" w:type="pct"/>
                  <w:vAlign w:val="center"/>
                </w:tcPr>
                <w:p>
                  <w:pPr>
                    <w:pStyle w:val="66"/>
                  </w:pPr>
                  <w:r>
                    <w:t>肠道致病菌</w:t>
                  </w:r>
                </w:p>
              </w:tc>
              <w:tc>
                <w:tcPr>
                  <w:tcW w:w="308" w:type="pct"/>
                  <w:vAlign w:val="center"/>
                </w:tcPr>
                <w:p>
                  <w:pPr>
                    <w:pStyle w:val="66"/>
                  </w:pPr>
                  <w:r>
                    <w:t>肠道病毒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vAlign w:val="center"/>
                </w:tcPr>
                <w:p>
                  <w:pPr>
                    <w:pStyle w:val="66"/>
                  </w:pPr>
                  <w:r>
                    <w:rPr>
                      <w:rFonts w:hint="eastAsia"/>
                    </w:rPr>
                    <w:t>《医疗机构水污染物排放标准》（GB18466-2005）表2预处理标准</w:t>
                  </w:r>
                </w:p>
              </w:tc>
              <w:tc>
                <w:tcPr>
                  <w:tcW w:w="509" w:type="pct"/>
                  <w:vAlign w:val="center"/>
                </w:tcPr>
                <w:p>
                  <w:pPr>
                    <w:pStyle w:val="66"/>
                  </w:pPr>
                  <w:r>
                    <w:rPr>
                      <w:rFonts w:hint="eastAsia"/>
                    </w:rPr>
                    <w:t>6~9</w:t>
                  </w:r>
                </w:p>
              </w:tc>
              <w:tc>
                <w:tcPr>
                  <w:tcW w:w="583" w:type="pct"/>
                  <w:vAlign w:val="center"/>
                </w:tcPr>
                <w:p>
                  <w:pPr>
                    <w:pStyle w:val="66"/>
                  </w:pPr>
                  <w:r>
                    <w:t>≤</w:t>
                  </w:r>
                  <w:r>
                    <w:rPr>
                      <w:rFonts w:hint="eastAsia"/>
                    </w:rPr>
                    <w:t>250</w:t>
                  </w:r>
                </w:p>
              </w:tc>
              <w:tc>
                <w:tcPr>
                  <w:tcW w:w="530" w:type="pct"/>
                  <w:vAlign w:val="center"/>
                </w:tcPr>
                <w:p>
                  <w:pPr>
                    <w:pStyle w:val="66"/>
                  </w:pPr>
                  <w:r>
                    <w:t>≤</w:t>
                  </w:r>
                  <w:r>
                    <w:rPr>
                      <w:rFonts w:hint="eastAsia"/>
                    </w:rPr>
                    <w:t>100</w:t>
                  </w:r>
                </w:p>
              </w:tc>
              <w:tc>
                <w:tcPr>
                  <w:tcW w:w="395" w:type="pct"/>
                  <w:vAlign w:val="center"/>
                </w:tcPr>
                <w:p>
                  <w:pPr>
                    <w:pStyle w:val="66"/>
                  </w:pPr>
                  <w:r>
                    <w:t>≤</w:t>
                  </w:r>
                  <w:r>
                    <w:rPr>
                      <w:rFonts w:hint="eastAsia"/>
                    </w:rPr>
                    <w:t>60</w:t>
                  </w:r>
                </w:p>
              </w:tc>
              <w:tc>
                <w:tcPr>
                  <w:tcW w:w="480" w:type="pct"/>
                  <w:vAlign w:val="center"/>
                </w:tcPr>
                <w:p>
                  <w:pPr>
                    <w:pStyle w:val="66"/>
                  </w:pPr>
                  <w:r>
                    <w:rPr>
                      <w:rFonts w:hint="eastAsia"/>
                    </w:rPr>
                    <w:t>-</w:t>
                  </w:r>
                </w:p>
              </w:tc>
              <w:tc>
                <w:tcPr>
                  <w:tcW w:w="640" w:type="pct"/>
                  <w:vAlign w:val="center"/>
                </w:tcPr>
                <w:p>
                  <w:pPr>
                    <w:pStyle w:val="66"/>
                  </w:pPr>
                  <w:r>
                    <w:rPr>
                      <w:rFonts w:hint="eastAsia"/>
                    </w:rPr>
                    <w:t>5000</w:t>
                  </w:r>
                  <w:r>
                    <w:t>MPN/L</w:t>
                  </w:r>
                </w:p>
              </w:tc>
              <w:tc>
                <w:tcPr>
                  <w:tcW w:w="600" w:type="pct"/>
                  <w:vAlign w:val="center"/>
                </w:tcPr>
                <w:p>
                  <w:pPr>
                    <w:pStyle w:val="66"/>
                    <w:rPr>
                      <w:lang w:eastAsia="zh-CN"/>
                    </w:rPr>
                  </w:pPr>
                  <w:r>
                    <w:rPr>
                      <w:rFonts w:hint="eastAsia"/>
                      <w:lang w:eastAsia="zh-CN"/>
                    </w:rPr>
                    <w:t>不得检出</w:t>
                  </w:r>
                </w:p>
              </w:tc>
              <w:tc>
                <w:tcPr>
                  <w:tcW w:w="308" w:type="pct"/>
                  <w:vAlign w:val="center"/>
                </w:tcPr>
                <w:p>
                  <w:pPr>
                    <w:pStyle w:val="66"/>
                    <w:rPr>
                      <w:lang w:eastAsia="zh-CN"/>
                    </w:rPr>
                  </w:pPr>
                  <w:r>
                    <w:rPr>
                      <w:rFonts w:hint="eastAsia"/>
                      <w:lang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vAlign w:val="center"/>
                </w:tcPr>
                <w:p>
                  <w:pPr>
                    <w:pStyle w:val="66"/>
                  </w:pPr>
                  <w:r>
                    <w:rPr>
                      <w:rFonts w:hint="eastAsia"/>
                    </w:rPr>
                    <w:t>茂名高新技术产业开发区污水处理厂</w:t>
                  </w:r>
                  <w:r>
                    <w:rPr>
                      <w:rFonts w:hint="eastAsia"/>
                      <w:lang w:eastAsia="zh-CN"/>
                    </w:rPr>
                    <w:t>工业废水与生活废水合并进水标准</w:t>
                  </w:r>
                </w:p>
              </w:tc>
              <w:tc>
                <w:tcPr>
                  <w:tcW w:w="509" w:type="pct"/>
                  <w:vAlign w:val="center"/>
                </w:tcPr>
                <w:p>
                  <w:pPr>
                    <w:pStyle w:val="66"/>
                    <w:rPr>
                      <w:lang w:eastAsia="zh-CN"/>
                    </w:rPr>
                  </w:pPr>
                  <w:r>
                    <w:rPr>
                      <w:rFonts w:hint="eastAsia"/>
                      <w:lang w:eastAsia="zh-CN"/>
                    </w:rPr>
                    <w:t>6</w:t>
                  </w:r>
                  <w:r>
                    <w:rPr>
                      <w:lang w:eastAsia="zh-CN"/>
                    </w:rPr>
                    <w:t>.5</w:t>
                  </w:r>
                  <w:r>
                    <w:rPr>
                      <w:rFonts w:hint="eastAsia"/>
                      <w:lang w:eastAsia="zh-CN"/>
                    </w:rPr>
                    <w:t>~</w:t>
                  </w:r>
                  <w:r>
                    <w:rPr>
                      <w:lang w:eastAsia="zh-CN"/>
                    </w:rPr>
                    <w:t>9</w:t>
                  </w:r>
                </w:p>
              </w:tc>
              <w:tc>
                <w:tcPr>
                  <w:tcW w:w="583" w:type="pct"/>
                  <w:vAlign w:val="center"/>
                </w:tcPr>
                <w:p>
                  <w:pPr>
                    <w:pStyle w:val="66"/>
                    <w:rPr>
                      <w:lang w:eastAsia="zh-CN"/>
                    </w:rPr>
                  </w:pPr>
                  <w:r>
                    <w:rPr>
                      <w:rFonts w:hint="eastAsia"/>
                      <w:lang w:eastAsia="zh-CN"/>
                    </w:rPr>
                    <w:t>3</w:t>
                  </w:r>
                  <w:r>
                    <w:rPr>
                      <w:lang w:eastAsia="zh-CN"/>
                    </w:rPr>
                    <w:t>60</w:t>
                  </w:r>
                </w:p>
              </w:tc>
              <w:tc>
                <w:tcPr>
                  <w:tcW w:w="530" w:type="pct"/>
                  <w:vAlign w:val="center"/>
                </w:tcPr>
                <w:p>
                  <w:pPr>
                    <w:pStyle w:val="66"/>
                    <w:rPr>
                      <w:lang w:eastAsia="zh-CN"/>
                    </w:rPr>
                  </w:pPr>
                  <w:r>
                    <w:rPr>
                      <w:rFonts w:hint="eastAsia"/>
                      <w:lang w:eastAsia="zh-CN"/>
                    </w:rPr>
                    <w:t>2</w:t>
                  </w:r>
                  <w:r>
                    <w:rPr>
                      <w:lang w:eastAsia="zh-CN"/>
                    </w:rPr>
                    <w:t>50</w:t>
                  </w:r>
                </w:p>
              </w:tc>
              <w:tc>
                <w:tcPr>
                  <w:tcW w:w="395" w:type="pct"/>
                  <w:vAlign w:val="center"/>
                </w:tcPr>
                <w:p>
                  <w:pPr>
                    <w:pStyle w:val="66"/>
                    <w:rPr>
                      <w:lang w:eastAsia="zh-CN"/>
                    </w:rPr>
                  </w:pPr>
                  <w:r>
                    <w:rPr>
                      <w:rFonts w:hint="eastAsia"/>
                      <w:lang w:eastAsia="zh-CN"/>
                    </w:rPr>
                    <w:t>2</w:t>
                  </w:r>
                  <w:r>
                    <w:rPr>
                      <w:lang w:eastAsia="zh-CN"/>
                    </w:rPr>
                    <w:t>60</w:t>
                  </w:r>
                </w:p>
              </w:tc>
              <w:tc>
                <w:tcPr>
                  <w:tcW w:w="480" w:type="pct"/>
                  <w:vAlign w:val="center"/>
                </w:tcPr>
                <w:p>
                  <w:pPr>
                    <w:pStyle w:val="66"/>
                    <w:rPr>
                      <w:lang w:eastAsia="zh-CN"/>
                    </w:rPr>
                  </w:pPr>
                  <w:r>
                    <w:rPr>
                      <w:rFonts w:hint="eastAsia"/>
                      <w:lang w:eastAsia="zh-CN"/>
                    </w:rPr>
                    <w:t>4</w:t>
                  </w:r>
                  <w:r>
                    <w:rPr>
                      <w:lang w:eastAsia="zh-CN"/>
                    </w:rPr>
                    <w:t>5</w:t>
                  </w:r>
                </w:p>
              </w:tc>
              <w:tc>
                <w:tcPr>
                  <w:tcW w:w="640" w:type="pct"/>
                  <w:vAlign w:val="center"/>
                </w:tcPr>
                <w:p>
                  <w:pPr>
                    <w:pStyle w:val="66"/>
                    <w:rPr>
                      <w:lang w:eastAsia="zh-CN"/>
                    </w:rPr>
                  </w:pPr>
                  <w:r>
                    <w:rPr>
                      <w:rFonts w:hint="eastAsia"/>
                      <w:lang w:eastAsia="zh-CN"/>
                    </w:rPr>
                    <w:t>-</w:t>
                  </w:r>
                </w:p>
              </w:tc>
              <w:tc>
                <w:tcPr>
                  <w:tcW w:w="600" w:type="pct"/>
                  <w:vAlign w:val="center"/>
                </w:tcPr>
                <w:p>
                  <w:pPr>
                    <w:pStyle w:val="66"/>
                    <w:rPr>
                      <w:lang w:eastAsia="zh-CN"/>
                    </w:rPr>
                  </w:pPr>
                  <w:r>
                    <w:rPr>
                      <w:rFonts w:hint="eastAsia"/>
                      <w:lang w:eastAsia="zh-CN"/>
                    </w:rPr>
                    <w:t>-</w:t>
                  </w:r>
                </w:p>
              </w:tc>
              <w:tc>
                <w:tcPr>
                  <w:tcW w:w="308" w:type="pct"/>
                  <w:vAlign w:val="center"/>
                </w:tcPr>
                <w:p>
                  <w:pPr>
                    <w:pStyle w:val="66"/>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 w:type="pct"/>
                  <w:vAlign w:val="center"/>
                </w:tcPr>
                <w:p>
                  <w:pPr>
                    <w:pStyle w:val="66"/>
                  </w:pPr>
                  <w:r>
                    <w:rPr>
                      <w:rFonts w:hint="eastAsia"/>
                    </w:rPr>
                    <w:t>本项目实验室废水执行标准</w:t>
                  </w:r>
                </w:p>
              </w:tc>
              <w:tc>
                <w:tcPr>
                  <w:tcW w:w="509" w:type="pct"/>
                  <w:vAlign w:val="center"/>
                </w:tcPr>
                <w:p>
                  <w:pPr>
                    <w:pStyle w:val="66"/>
                  </w:pPr>
                  <w:r>
                    <w:rPr>
                      <w:rFonts w:hint="eastAsia"/>
                    </w:rPr>
                    <w:t>6~9</w:t>
                  </w:r>
                </w:p>
              </w:tc>
              <w:tc>
                <w:tcPr>
                  <w:tcW w:w="583" w:type="pct"/>
                  <w:vAlign w:val="center"/>
                </w:tcPr>
                <w:p>
                  <w:pPr>
                    <w:pStyle w:val="66"/>
                  </w:pPr>
                  <w:r>
                    <w:t>≤</w:t>
                  </w:r>
                  <w:r>
                    <w:rPr>
                      <w:rFonts w:hint="eastAsia"/>
                    </w:rPr>
                    <w:t>250</w:t>
                  </w:r>
                </w:p>
              </w:tc>
              <w:tc>
                <w:tcPr>
                  <w:tcW w:w="530" w:type="pct"/>
                  <w:vAlign w:val="center"/>
                </w:tcPr>
                <w:p>
                  <w:pPr>
                    <w:pStyle w:val="66"/>
                  </w:pPr>
                  <w:r>
                    <w:t>≤</w:t>
                  </w:r>
                  <w:r>
                    <w:rPr>
                      <w:rFonts w:hint="eastAsia"/>
                    </w:rPr>
                    <w:t>100</w:t>
                  </w:r>
                </w:p>
              </w:tc>
              <w:tc>
                <w:tcPr>
                  <w:tcW w:w="395" w:type="pct"/>
                  <w:vAlign w:val="center"/>
                </w:tcPr>
                <w:p>
                  <w:pPr>
                    <w:pStyle w:val="66"/>
                  </w:pPr>
                  <w:r>
                    <w:t>≤</w:t>
                  </w:r>
                  <w:r>
                    <w:rPr>
                      <w:rFonts w:hint="eastAsia"/>
                    </w:rPr>
                    <w:t>60</w:t>
                  </w:r>
                </w:p>
              </w:tc>
              <w:tc>
                <w:tcPr>
                  <w:tcW w:w="480" w:type="pct"/>
                  <w:vAlign w:val="center"/>
                </w:tcPr>
                <w:p>
                  <w:pPr>
                    <w:pStyle w:val="66"/>
                  </w:pPr>
                  <w:r>
                    <w:t>≤45</w:t>
                  </w:r>
                </w:p>
              </w:tc>
              <w:tc>
                <w:tcPr>
                  <w:tcW w:w="640" w:type="pct"/>
                  <w:vAlign w:val="center"/>
                </w:tcPr>
                <w:p>
                  <w:pPr>
                    <w:pStyle w:val="66"/>
                  </w:pPr>
                  <w:r>
                    <w:rPr>
                      <w:rFonts w:hint="eastAsia"/>
                    </w:rPr>
                    <w:t>5000</w:t>
                  </w:r>
                  <w:r>
                    <w:t>MPN/L</w:t>
                  </w:r>
                </w:p>
              </w:tc>
              <w:tc>
                <w:tcPr>
                  <w:tcW w:w="600" w:type="pct"/>
                  <w:vAlign w:val="center"/>
                </w:tcPr>
                <w:p>
                  <w:pPr>
                    <w:pStyle w:val="66"/>
                    <w:rPr>
                      <w:lang w:eastAsia="zh-CN"/>
                    </w:rPr>
                  </w:pPr>
                  <w:r>
                    <w:rPr>
                      <w:rFonts w:hint="eastAsia"/>
                      <w:lang w:eastAsia="zh-CN"/>
                    </w:rPr>
                    <w:t>不得检出</w:t>
                  </w:r>
                </w:p>
              </w:tc>
              <w:tc>
                <w:tcPr>
                  <w:tcW w:w="308" w:type="pct"/>
                  <w:vAlign w:val="center"/>
                </w:tcPr>
                <w:p>
                  <w:pPr>
                    <w:pStyle w:val="66"/>
                    <w:rPr>
                      <w:lang w:eastAsia="zh-CN"/>
                    </w:rPr>
                  </w:pPr>
                  <w:r>
                    <w:rPr>
                      <w:rFonts w:hint="eastAsia"/>
                      <w:lang w:eastAsia="zh-CN"/>
                    </w:rPr>
                    <w:t>不得检出</w:t>
                  </w:r>
                </w:p>
              </w:tc>
            </w:tr>
          </w:tbl>
          <w:p>
            <w:pPr>
              <w:pStyle w:val="4"/>
              <w:rPr>
                <w:lang w:eastAsia="zh-CN"/>
              </w:rPr>
            </w:pPr>
            <w:bookmarkStart w:id="103" w:name="_Toc120889814"/>
            <w:bookmarkStart w:id="104" w:name="_Toc121147743"/>
            <w:bookmarkStart w:id="105" w:name="_Toc122338511"/>
            <w:r>
              <w:rPr>
                <w:rFonts w:hint="eastAsia"/>
                <w:lang w:eastAsia="zh-CN"/>
              </w:rPr>
              <w:t>噪声排放标准</w:t>
            </w:r>
            <w:bookmarkEnd w:id="103"/>
            <w:bookmarkEnd w:id="104"/>
            <w:bookmarkEnd w:id="105"/>
          </w:p>
          <w:p>
            <w:pPr>
              <w:ind w:firstLine="480"/>
              <w:rPr>
                <w:lang w:val="zh-CN"/>
              </w:rPr>
            </w:pPr>
            <w:r>
              <w:rPr>
                <w:rFonts w:hint="eastAsia"/>
                <w:lang w:val="zh-CN"/>
              </w:rPr>
              <w:t>项目厂界噪声执行《工业企业厂界环境噪声排放标准》（GB12348-2008）</w:t>
            </w:r>
            <w:r>
              <w:rPr>
                <w:lang w:val="zh-CN"/>
              </w:rPr>
              <w:t>3</w:t>
            </w:r>
            <w:r>
              <w:rPr>
                <w:rFonts w:hint="eastAsia"/>
                <w:lang w:val="zh-CN"/>
              </w:rPr>
              <w:t>类标准，即昼间≤6</w:t>
            </w:r>
            <w:r>
              <w:rPr>
                <w:lang w:val="zh-CN"/>
              </w:rPr>
              <w:t>5</w:t>
            </w:r>
            <w:r>
              <w:rPr>
                <w:rFonts w:hint="eastAsia"/>
                <w:lang w:val="zh-CN"/>
              </w:rPr>
              <w:t>dB(A)，夜间≤5</w:t>
            </w:r>
            <w:r>
              <w:rPr>
                <w:lang w:val="zh-CN"/>
              </w:rPr>
              <w:t>5</w:t>
            </w:r>
            <w:r>
              <w:rPr>
                <w:rFonts w:hint="eastAsia"/>
                <w:lang w:val="zh-CN"/>
              </w:rPr>
              <w:t>dB(A)。</w:t>
            </w:r>
          </w:p>
          <w:p>
            <w:pPr>
              <w:pStyle w:val="4"/>
              <w:rPr>
                <w:lang w:eastAsia="zh-CN"/>
              </w:rPr>
            </w:pPr>
            <w:bookmarkStart w:id="106" w:name="_Toc120889815"/>
            <w:bookmarkStart w:id="107" w:name="_Toc121147744"/>
            <w:bookmarkStart w:id="108" w:name="_Toc122338512"/>
            <w:r>
              <w:rPr>
                <w:rFonts w:hint="eastAsia"/>
                <w:lang w:eastAsia="zh-CN"/>
              </w:rPr>
              <w:t>固体废物</w:t>
            </w:r>
            <w:bookmarkEnd w:id="106"/>
            <w:bookmarkEnd w:id="107"/>
            <w:bookmarkEnd w:id="108"/>
          </w:p>
          <w:p>
            <w:pPr>
              <w:ind w:firstLine="480"/>
              <w:rPr>
                <w:lang w:val="zh-CN"/>
              </w:rPr>
            </w:pPr>
            <w:r>
              <w:rPr>
                <w:rFonts w:hint="eastAsia"/>
                <w:lang w:val="zh-CN"/>
              </w:rPr>
              <w:t>固体废物执行《广东省固体废物污染环境防治条例》和《中华人民共和国固体废物污染环境防治法》的相关规定，一般工业固体废物在厂内采用库房或包装工具贮存，贮存过程应满足相应防渗漏、防雨淋、防扬尘等环境保护要求。</w:t>
            </w:r>
          </w:p>
          <w:p>
            <w:pPr>
              <w:pStyle w:val="309"/>
            </w:pPr>
            <w:r>
              <w:t>医疗废物的暂时贮存设施、设备，应当远离医疗区、食品加工区和人员活动区以及生活垃圾存放场所，并设置明显的警示标识和防渗漏、防鼠、防蟑螂、防盗以及预防儿童接触等安全措施。医疗废物的安全管理执行《医疗废物管理条例》（国务院令第380号）。</w:t>
            </w:r>
          </w:p>
          <w:p>
            <w:pPr>
              <w:ind w:firstLine="480"/>
              <w:rPr>
                <w:lang w:val="zh-CN"/>
              </w:rPr>
            </w:pPr>
            <w:r>
              <w:t>医疗卫生机构和医疗废物集中处置单位，应当按照《中华人民共和国固体废物污染环境防治法》的规定，执行危险废物转移联单管理制度。</w:t>
            </w:r>
          </w:p>
          <w:p>
            <w:pPr>
              <w:ind w:firstLine="480"/>
              <w:rPr>
                <w:lang w:val="zh-CN"/>
              </w:rPr>
            </w:pPr>
            <w:r>
              <w:rPr>
                <w:rFonts w:hint="eastAsia"/>
                <w:lang w:val="zh-CN"/>
              </w:rPr>
              <w:t>同时，危险废物也应执行《危险废物收集、贮存、运输技术规范》（HJ2025-2012）、《危险废物贮存污染控制标准》（GB18597-2001）及2013年修改清单的有关规定。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8" w:hRule="atLeast"/>
          <w:jc w:val="center"/>
        </w:trPr>
        <w:tc>
          <w:tcPr>
            <w:tcW w:w="1335" w:type="dxa"/>
            <w:vAlign w:val="center"/>
          </w:tcPr>
          <w:p>
            <w:pPr>
              <w:spacing w:line="240" w:lineRule="auto"/>
              <w:ind w:firstLine="0" w:firstLineChars="0"/>
              <w:jc w:val="center"/>
            </w:pPr>
            <w:r>
              <w:rPr>
                <w:rFonts w:hint="eastAsia"/>
              </w:rPr>
              <w:t>总量控制指标</w:t>
            </w:r>
          </w:p>
        </w:tc>
        <w:tc>
          <w:tcPr>
            <w:tcW w:w="7535" w:type="dxa"/>
          </w:tcPr>
          <w:p>
            <w:pPr>
              <w:pStyle w:val="3"/>
              <w:rPr>
                <w:lang w:eastAsia="zh-CN"/>
              </w:rPr>
            </w:pPr>
            <w:bookmarkStart w:id="109" w:name="_Toc120889816"/>
            <w:bookmarkStart w:id="110" w:name="_Toc121147745"/>
            <w:bookmarkStart w:id="111" w:name="_Toc122338513"/>
            <w:r>
              <w:rPr>
                <w:rFonts w:hint="eastAsia"/>
                <w:lang w:eastAsia="zh-CN"/>
              </w:rPr>
              <w:t>总量控制指标</w:t>
            </w:r>
            <w:bookmarkEnd w:id="109"/>
            <w:bookmarkEnd w:id="110"/>
            <w:bookmarkEnd w:id="111"/>
          </w:p>
          <w:p>
            <w:pPr>
              <w:ind w:firstLine="480"/>
              <w:rPr>
                <w:lang w:val="zh-CN"/>
              </w:rPr>
            </w:pPr>
            <w:r>
              <w:rPr>
                <w:rFonts w:hint="eastAsia"/>
                <w:lang w:val="zh-CN"/>
              </w:rPr>
              <w:t>本项目为新建项目，结合环保管理要求，建设单位应根据本项目废气、废水和固体废物等污染物的排放量，向上级主管部门和环保部门申请各项污染物排放总量控制指标。</w:t>
            </w:r>
          </w:p>
          <w:p>
            <w:pPr>
              <w:ind w:firstLine="480"/>
              <w:rPr>
                <w:lang w:val="zh-CN"/>
              </w:rPr>
            </w:pPr>
            <w:r>
              <w:rPr>
                <w:rFonts w:hint="eastAsia"/>
                <w:lang w:val="zh-CN"/>
              </w:rPr>
              <w:t>本项目属于</w:t>
            </w:r>
            <w:r>
              <w:rPr>
                <w:rFonts w:hint="eastAsia"/>
              </w:rPr>
              <w:t>茂名高新技术产业开发区污水处理厂</w:t>
            </w:r>
            <w:r>
              <w:rPr>
                <w:rFonts w:hint="eastAsia"/>
                <w:lang w:val="zh-CN"/>
              </w:rPr>
              <w:t>纳污范围内，项目排放的实验室废水纳入</w:t>
            </w:r>
            <w:r>
              <w:rPr>
                <w:rFonts w:hint="eastAsia"/>
              </w:rPr>
              <w:t>茂名高新技术产业开发区污水处理厂</w:t>
            </w:r>
            <w:r>
              <w:rPr>
                <w:rFonts w:hint="eastAsia"/>
                <w:lang w:val="zh-CN"/>
              </w:rPr>
              <w:t>处理，总量指标（COD、氨氮）纳入</w:t>
            </w:r>
            <w:r>
              <w:rPr>
                <w:rFonts w:hint="eastAsia"/>
              </w:rPr>
              <w:t>茂名高新技术产业开发区污水处理厂</w:t>
            </w:r>
            <w:r>
              <w:rPr>
                <w:rFonts w:hint="eastAsia"/>
                <w:lang w:val="zh-CN"/>
              </w:rPr>
              <w:t>一并统筹，不单独申请。</w:t>
            </w:r>
          </w:p>
          <w:p>
            <w:pPr>
              <w:ind w:firstLine="480"/>
              <w:rPr>
                <w:lang w:val="zh-CN"/>
              </w:rPr>
            </w:pPr>
            <w:r>
              <w:rPr>
                <w:rFonts w:hint="eastAsia"/>
                <w:lang w:val="zh-CN"/>
              </w:rPr>
              <w:t>本项目VOCs产生量为</w:t>
            </w:r>
            <w:r>
              <w:rPr>
                <w:lang w:val="zh-CN"/>
              </w:rPr>
              <w:t>72.886</w:t>
            </w:r>
            <w:r>
              <w:rPr>
                <w:rFonts w:hint="eastAsia"/>
                <w:lang w:val="zh-CN"/>
              </w:rPr>
              <w:t>kg/a。</w:t>
            </w:r>
          </w:p>
          <w:p>
            <w:pPr>
              <w:ind w:firstLine="480"/>
              <w:rPr>
                <w:lang w:val="zh-CN"/>
              </w:rPr>
            </w:pPr>
            <w:r>
              <w:rPr>
                <w:rFonts w:hint="eastAsia"/>
                <w:lang w:val="zh-CN"/>
              </w:rPr>
              <w:t>根据《广东省生态环境厅关于做好重点行业建设项目挥发性有机物总量指标管理工作的通知》（粤环发〔2019〕2号）内容，“新、改、扩建排放VOCs的重点行业建设项目应当执行总量替代制度，重点行业包括炼油与石化、化学原料和化学制品制造、化学药品原料药制造、合成纤维制造、表面涂装、印刷、制鞋、家具制造、人造板制造、电子元件制造、纺织印染、塑料制造及塑料制品等12个行业”，项目属于Q8492临床检验服务，不属于重点行业，项目外排VOCs年排放量低于300kg，故无需申请总量替代指标，本项目VOCs总量控制量为</w:t>
            </w:r>
            <w:r>
              <w:rPr>
                <w:lang w:val="zh-CN"/>
              </w:rPr>
              <w:t>72.886</w:t>
            </w:r>
            <w:r>
              <w:rPr>
                <w:rFonts w:hint="eastAsia"/>
                <w:lang w:val="zh-CN"/>
              </w:rPr>
              <w:t>kg/a。</w:t>
            </w:r>
          </w:p>
        </w:tc>
      </w:tr>
    </w:tbl>
    <w:p>
      <w:pPr>
        <w:ind w:firstLine="480"/>
        <w:sectPr>
          <w:pgSz w:w="11906" w:h="16838"/>
          <w:pgMar w:top="1440" w:right="1800" w:bottom="1440" w:left="1800" w:header="851" w:footer="992" w:gutter="0"/>
          <w:cols w:space="720" w:num="1"/>
          <w:docGrid w:type="lines" w:linePitch="326" w:charSpace="0"/>
        </w:sectPr>
      </w:pPr>
    </w:p>
    <w:p>
      <w:pPr>
        <w:pStyle w:val="2"/>
        <w:spacing w:before="326" w:after="326"/>
      </w:pPr>
      <w:bookmarkStart w:id="112" w:name="_Toc122338514"/>
      <w:r>
        <w:rPr>
          <w:rFonts w:hint="eastAsia"/>
          <w:lang w:eastAsia="zh-CN"/>
        </w:rPr>
        <w:t>主要环境影响和保护措施</w:t>
      </w:r>
      <w:bookmarkEnd w:id="112"/>
    </w:p>
    <w:tbl>
      <w:tblPr>
        <w:tblStyle w:val="3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4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8" w:hRule="atLeast"/>
          <w:jc w:val="center"/>
        </w:trPr>
        <w:tc>
          <w:tcPr>
            <w:tcW w:w="1232" w:type="dxa"/>
            <w:vAlign w:val="center"/>
          </w:tcPr>
          <w:p>
            <w:pPr>
              <w:spacing w:line="240" w:lineRule="auto"/>
              <w:ind w:firstLine="0" w:firstLineChars="0"/>
              <w:jc w:val="center"/>
            </w:pPr>
            <w:r>
              <w:rPr>
                <w:rFonts w:hint="eastAsia"/>
              </w:rPr>
              <w:t>施工期环境保护措施</w:t>
            </w:r>
          </w:p>
        </w:tc>
        <w:tc>
          <w:tcPr>
            <w:tcW w:w="7638" w:type="dxa"/>
          </w:tcPr>
          <w:p>
            <w:pPr>
              <w:pStyle w:val="3"/>
              <w:rPr>
                <w:lang w:eastAsia="zh-CN"/>
              </w:rPr>
            </w:pPr>
            <w:bookmarkStart w:id="113" w:name="_Toc120889818"/>
            <w:bookmarkStart w:id="114" w:name="_Toc121147747"/>
            <w:bookmarkStart w:id="115" w:name="_Toc122338515"/>
            <w:r>
              <w:rPr>
                <w:rFonts w:hint="eastAsia"/>
                <w:lang w:eastAsia="zh-CN"/>
              </w:rPr>
              <w:t>施工期环境保护措施</w:t>
            </w:r>
            <w:bookmarkEnd w:id="113"/>
            <w:bookmarkEnd w:id="114"/>
            <w:bookmarkEnd w:id="115"/>
          </w:p>
          <w:p>
            <w:pPr>
              <w:ind w:firstLine="480"/>
            </w:pPr>
            <w:r>
              <w:rPr>
                <w:rFonts w:hint="eastAsia"/>
              </w:rPr>
              <w:t>本项目利用已建成的厂房，简单装修后进行设备的安装和调试，项目在施工过程中会产生施工废气、</w:t>
            </w:r>
            <w:r>
              <w:rPr>
                <w:rFonts w:hint="eastAsia"/>
                <w:bCs/>
              </w:rPr>
              <w:t>装修垃圾、设备包装垃圾、施工人员生活污水、噪声</w:t>
            </w:r>
            <w:r>
              <w:t>，施工期环境保护措施详见</w:t>
            </w:r>
            <w:r>
              <w:rPr>
                <w:rFonts w:hint="eastAsia"/>
              </w:rPr>
              <w:t>下表</w:t>
            </w:r>
            <w:r>
              <w:t>。</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lang w:eastAsia="zh-CN"/>
              </w:rPr>
              <w:t>施工期环境保护措施一览表</w:t>
            </w:r>
          </w:p>
          <w:tbl>
            <w:tblPr>
              <w:tblStyle w:val="36"/>
              <w:tblW w:w="736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104"/>
              <w:gridCol w:w="56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5" w:hRule="atLeast"/>
                <w:jc w:val="center"/>
              </w:trPr>
              <w:tc>
                <w:tcPr>
                  <w:tcW w:w="1735" w:type="dxa"/>
                  <w:gridSpan w:val="2"/>
                  <w:shd w:val="clear" w:color="auto" w:fill="auto"/>
                  <w:vAlign w:val="center"/>
                </w:tcPr>
                <w:p>
                  <w:pPr>
                    <w:spacing w:line="240" w:lineRule="auto"/>
                    <w:ind w:firstLine="0" w:firstLineChars="0"/>
                    <w:jc w:val="center"/>
                    <w:rPr>
                      <w:sz w:val="21"/>
                      <w:szCs w:val="21"/>
                    </w:rPr>
                  </w:pPr>
                  <w:r>
                    <w:rPr>
                      <w:sz w:val="21"/>
                      <w:szCs w:val="21"/>
                    </w:rPr>
                    <w:t>名称</w:t>
                  </w:r>
                </w:p>
              </w:tc>
              <w:tc>
                <w:tcPr>
                  <w:tcW w:w="5625" w:type="dxa"/>
                  <w:shd w:val="clear" w:color="auto" w:fill="auto"/>
                  <w:vAlign w:val="center"/>
                </w:tcPr>
                <w:p>
                  <w:pPr>
                    <w:spacing w:line="240" w:lineRule="auto"/>
                    <w:ind w:firstLine="0" w:firstLineChars="0"/>
                    <w:jc w:val="center"/>
                    <w:rPr>
                      <w:sz w:val="21"/>
                      <w:szCs w:val="21"/>
                    </w:rPr>
                  </w:pPr>
                  <w:r>
                    <w:rPr>
                      <w:sz w:val="21"/>
                      <w:szCs w:val="21"/>
                    </w:rPr>
                    <w:t>环保设施名称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31" w:type="dxa"/>
                  <w:shd w:val="clear" w:color="auto" w:fill="auto"/>
                  <w:vAlign w:val="center"/>
                </w:tcPr>
                <w:p>
                  <w:pPr>
                    <w:spacing w:line="240" w:lineRule="auto"/>
                    <w:ind w:firstLine="0" w:firstLineChars="0"/>
                    <w:jc w:val="center"/>
                    <w:rPr>
                      <w:sz w:val="21"/>
                      <w:szCs w:val="21"/>
                    </w:rPr>
                  </w:pPr>
                  <w:r>
                    <w:rPr>
                      <w:sz w:val="21"/>
                      <w:szCs w:val="21"/>
                    </w:rPr>
                    <w:t>废气</w:t>
                  </w:r>
                </w:p>
              </w:tc>
              <w:tc>
                <w:tcPr>
                  <w:tcW w:w="1104" w:type="dxa"/>
                  <w:shd w:val="clear" w:color="auto" w:fill="auto"/>
                  <w:vAlign w:val="center"/>
                </w:tcPr>
                <w:p>
                  <w:pPr>
                    <w:spacing w:line="240" w:lineRule="auto"/>
                    <w:ind w:firstLine="0" w:firstLineChars="0"/>
                    <w:jc w:val="center"/>
                    <w:rPr>
                      <w:sz w:val="21"/>
                      <w:szCs w:val="21"/>
                    </w:rPr>
                  </w:pPr>
                  <w:r>
                    <w:rPr>
                      <w:rFonts w:hint="eastAsia"/>
                      <w:sz w:val="21"/>
                      <w:szCs w:val="21"/>
                    </w:rPr>
                    <w:t>施工扬尘</w:t>
                  </w:r>
                </w:p>
              </w:tc>
              <w:tc>
                <w:tcPr>
                  <w:tcW w:w="5625" w:type="dxa"/>
                  <w:shd w:val="clear" w:color="auto" w:fill="auto"/>
                  <w:vAlign w:val="center"/>
                </w:tcPr>
                <w:p>
                  <w:pPr>
                    <w:spacing w:line="240" w:lineRule="auto"/>
                    <w:ind w:firstLine="0" w:firstLineChars="0"/>
                    <w:jc w:val="center"/>
                    <w:rPr>
                      <w:sz w:val="21"/>
                      <w:szCs w:val="21"/>
                    </w:rPr>
                  </w:pPr>
                  <w:r>
                    <w:rPr>
                      <w:sz w:val="21"/>
                      <w:szCs w:val="21"/>
                    </w:rPr>
                    <w:t xml:space="preserve">定期洒水、防止扬尘；及时清运建筑材料废料，防止堆放过程产生扬尘；及时清扫运输过程洒落在地面的泥土，减少输送过程中的扬尘；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31" w:type="dxa"/>
                  <w:vMerge w:val="restart"/>
                  <w:shd w:val="clear" w:color="auto" w:fill="auto"/>
                  <w:vAlign w:val="center"/>
                </w:tcPr>
                <w:p>
                  <w:pPr>
                    <w:spacing w:line="240" w:lineRule="auto"/>
                    <w:ind w:firstLine="0" w:firstLineChars="0"/>
                    <w:jc w:val="center"/>
                    <w:rPr>
                      <w:sz w:val="21"/>
                      <w:szCs w:val="21"/>
                    </w:rPr>
                  </w:pPr>
                  <w:r>
                    <w:rPr>
                      <w:sz w:val="21"/>
                      <w:szCs w:val="21"/>
                    </w:rPr>
                    <w:t>废水</w:t>
                  </w:r>
                </w:p>
              </w:tc>
              <w:tc>
                <w:tcPr>
                  <w:tcW w:w="1104" w:type="dxa"/>
                  <w:shd w:val="clear" w:color="auto" w:fill="auto"/>
                  <w:vAlign w:val="center"/>
                </w:tcPr>
                <w:p>
                  <w:pPr>
                    <w:spacing w:line="240" w:lineRule="auto"/>
                    <w:ind w:firstLine="0" w:firstLineChars="0"/>
                    <w:jc w:val="center"/>
                    <w:rPr>
                      <w:sz w:val="21"/>
                      <w:szCs w:val="21"/>
                    </w:rPr>
                  </w:pPr>
                  <w:r>
                    <w:rPr>
                      <w:sz w:val="21"/>
                      <w:szCs w:val="21"/>
                    </w:rPr>
                    <w:t>施工人员生活污水</w:t>
                  </w:r>
                </w:p>
              </w:tc>
              <w:tc>
                <w:tcPr>
                  <w:tcW w:w="5625" w:type="dxa"/>
                  <w:shd w:val="clear" w:color="auto" w:fill="auto"/>
                  <w:vAlign w:val="center"/>
                </w:tcPr>
                <w:p>
                  <w:pPr>
                    <w:spacing w:line="240" w:lineRule="auto"/>
                    <w:ind w:firstLine="0" w:firstLineChars="0"/>
                    <w:jc w:val="center"/>
                    <w:rPr>
                      <w:sz w:val="21"/>
                      <w:szCs w:val="21"/>
                    </w:rPr>
                  </w:pPr>
                  <w:r>
                    <w:rPr>
                      <w:rFonts w:hint="eastAsia"/>
                      <w:sz w:val="21"/>
                      <w:szCs w:val="21"/>
                    </w:rPr>
                    <w:t>施工人员租住附近居民楼房，生活污水排入村民自建生活污水处理设施处理，不外排。现场施工人员依托现有项目的厕所，生活污水经三级化粪池处理后通过管网排放至高新区处理厂处理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5" w:hRule="atLeast"/>
                <w:jc w:val="center"/>
              </w:trPr>
              <w:tc>
                <w:tcPr>
                  <w:tcW w:w="631" w:type="dxa"/>
                  <w:vMerge w:val="continue"/>
                  <w:shd w:val="clear" w:color="auto" w:fill="auto"/>
                  <w:vAlign w:val="center"/>
                </w:tcPr>
                <w:p>
                  <w:pPr>
                    <w:spacing w:line="240" w:lineRule="auto"/>
                    <w:ind w:firstLine="0" w:firstLineChars="0"/>
                    <w:jc w:val="center"/>
                    <w:rPr>
                      <w:sz w:val="21"/>
                      <w:szCs w:val="21"/>
                    </w:rPr>
                  </w:pPr>
                </w:p>
              </w:tc>
              <w:tc>
                <w:tcPr>
                  <w:tcW w:w="1104" w:type="dxa"/>
                  <w:shd w:val="clear" w:color="auto" w:fill="auto"/>
                  <w:vAlign w:val="center"/>
                </w:tcPr>
                <w:p>
                  <w:pPr>
                    <w:spacing w:line="240" w:lineRule="auto"/>
                    <w:ind w:firstLine="0" w:firstLineChars="0"/>
                    <w:jc w:val="center"/>
                    <w:rPr>
                      <w:sz w:val="21"/>
                      <w:szCs w:val="21"/>
                    </w:rPr>
                  </w:pPr>
                  <w:r>
                    <w:rPr>
                      <w:rFonts w:hint="eastAsia"/>
                      <w:sz w:val="21"/>
                      <w:szCs w:val="21"/>
                    </w:rPr>
                    <w:t>施工废水</w:t>
                  </w:r>
                </w:p>
              </w:tc>
              <w:tc>
                <w:tcPr>
                  <w:tcW w:w="5625" w:type="dxa"/>
                  <w:shd w:val="clear" w:color="auto" w:fill="auto"/>
                  <w:vAlign w:val="center"/>
                </w:tcPr>
                <w:p>
                  <w:pPr>
                    <w:spacing w:line="240" w:lineRule="auto"/>
                    <w:ind w:firstLine="0" w:firstLineChars="0"/>
                    <w:jc w:val="center"/>
                    <w:rPr>
                      <w:sz w:val="21"/>
                      <w:szCs w:val="21"/>
                    </w:rPr>
                  </w:pPr>
                  <w:r>
                    <w:rPr>
                      <w:rFonts w:hint="eastAsia"/>
                      <w:sz w:val="21"/>
                      <w:szCs w:val="21"/>
                    </w:rPr>
                    <w:t>收集后经隔油沉淀后回用于运输路面洒水及施工用水，不外排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31" w:type="dxa"/>
                  <w:shd w:val="clear" w:color="auto" w:fill="auto"/>
                  <w:vAlign w:val="center"/>
                </w:tcPr>
                <w:p>
                  <w:pPr>
                    <w:spacing w:line="240" w:lineRule="auto"/>
                    <w:ind w:firstLine="0" w:firstLineChars="0"/>
                    <w:jc w:val="center"/>
                    <w:rPr>
                      <w:sz w:val="21"/>
                      <w:szCs w:val="21"/>
                    </w:rPr>
                  </w:pPr>
                  <w:r>
                    <w:rPr>
                      <w:sz w:val="21"/>
                      <w:szCs w:val="21"/>
                    </w:rPr>
                    <w:t>噪声</w:t>
                  </w:r>
                </w:p>
              </w:tc>
              <w:tc>
                <w:tcPr>
                  <w:tcW w:w="1104" w:type="dxa"/>
                  <w:shd w:val="clear" w:color="auto" w:fill="auto"/>
                  <w:vAlign w:val="center"/>
                </w:tcPr>
                <w:p>
                  <w:pPr>
                    <w:spacing w:line="240" w:lineRule="auto"/>
                    <w:ind w:firstLine="0" w:firstLineChars="0"/>
                    <w:jc w:val="center"/>
                    <w:rPr>
                      <w:sz w:val="21"/>
                      <w:szCs w:val="21"/>
                    </w:rPr>
                  </w:pPr>
                  <w:r>
                    <w:rPr>
                      <w:sz w:val="21"/>
                      <w:szCs w:val="21"/>
                    </w:rPr>
                    <w:t>机械噪声</w:t>
                  </w:r>
                </w:p>
              </w:tc>
              <w:tc>
                <w:tcPr>
                  <w:tcW w:w="5625" w:type="dxa"/>
                  <w:shd w:val="clear" w:color="auto" w:fill="auto"/>
                  <w:vAlign w:val="center"/>
                </w:tcPr>
                <w:p>
                  <w:pPr>
                    <w:spacing w:line="240" w:lineRule="auto"/>
                    <w:ind w:firstLine="0" w:firstLineChars="0"/>
                    <w:jc w:val="center"/>
                    <w:rPr>
                      <w:sz w:val="21"/>
                      <w:szCs w:val="21"/>
                    </w:rPr>
                  </w:pPr>
                  <w:r>
                    <w:rPr>
                      <w:sz w:val="21"/>
                      <w:szCs w:val="21"/>
                    </w:rPr>
                    <w:t>尽量选用低噪声机械设备或带隔声、消声的设备；合理安排好施工时间和施工场所，合理安排好设备的使用，缩短其使用时间；建设施工单位应当文明施工、文明装卸、禁止高声喧哗；作业时在高噪声设备周围设置屏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52" w:hRule="atLeast"/>
                <w:jc w:val="center"/>
              </w:trPr>
              <w:tc>
                <w:tcPr>
                  <w:tcW w:w="631" w:type="dxa"/>
                  <w:vMerge w:val="restart"/>
                  <w:shd w:val="clear" w:color="auto" w:fill="auto"/>
                  <w:vAlign w:val="center"/>
                </w:tcPr>
                <w:p>
                  <w:pPr>
                    <w:spacing w:line="240" w:lineRule="auto"/>
                    <w:ind w:firstLine="0" w:firstLineChars="0"/>
                    <w:jc w:val="center"/>
                    <w:rPr>
                      <w:sz w:val="21"/>
                      <w:szCs w:val="21"/>
                    </w:rPr>
                  </w:pPr>
                  <w:r>
                    <w:rPr>
                      <w:sz w:val="21"/>
                      <w:szCs w:val="21"/>
                    </w:rPr>
                    <w:t>固废</w:t>
                  </w:r>
                </w:p>
              </w:tc>
              <w:tc>
                <w:tcPr>
                  <w:tcW w:w="1104" w:type="dxa"/>
                  <w:shd w:val="clear" w:color="auto" w:fill="auto"/>
                  <w:vAlign w:val="center"/>
                </w:tcPr>
                <w:p>
                  <w:pPr>
                    <w:spacing w:line="240" w:lineRule="auto"/>
                    <w:ind w:firstLine="0" w:firstLineChars="0"/>
                    <w:jc w:val="center"/>
                    <w:rPr>
                      <w:sz w:val="21"/>
                      <w:szCs w:val="21"/>
                    </w:rPr>
                  </w:pPr>
                  <w:r>
                    <w:rPr>
                      <w:sz w:val="21"/>
                      <w:szCs w:val="21"/>
                    </w:rPr>
                    <w:t>建筑垃圾</w:t>
                  </w:r>
                </w:p>
              </w:tc>
              <w:tc>
                <w:tcPr>
                  <w:tcW w:w="5625" w:type="dxa"/>
                  <w:vMerge w:val="restart"/>
                  <w:shd w:val="clear" w:color="auto" w:fill="auto"/>
                  <w:vAlign w:val="center"/>
                </w:tcPr>
                <w:p>
                  <w:pPr>
                    <w:spacing w:line="240" w:lineRule="auto"/>
                    <w:ind w:firstLine="0" w:firstLineChars="0"/>
                    <w:jc w:val="center"/>
                    <w:rPr>
                      <w:sz w:val="21"/>
                      <w:szCs w:val="21"/>
                    </w:rPr>
                  </w:pPr>
                  <w:r>
                    <w:rPr>
                      <w:sz w:val="21"/>
                      <w:szCs w:val="21"/>
                    </w:rPr>
                    <w:t>对可再利用的废料，如木材、钢筋等，进行回收，以节省资源；对砖瓦等块状和颗粒废物，可采用一般堆存的方法处理，但一定要将其最终运送到行政主管部门指定的固废倾倒场；对有扬尘的废物，采用彩条布或密目防护网覆盖的堆放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5" w:hRule="atLeast"/>
                <w:jc w:val="center"/>
              </w:trPr>
              <w:tc>
                <w:tcPr>
                  <w:tcW w:w="631" w:type="dxa"/>
                  <w:vMerge w:val="continue"/>
                  <w:shd w:val="clear" w:color="auto" w:fill="auto"/>
                  <w:vAlign w:val="center"/>
                </w:tcPr>
                <w:p>
                  <w:pPr>
                    <w:spacing w:line="240" w:lineRule="auto"/>
                    <w:ind w:firstLine="0" w:firstLineChars="0"/>
                    <w:jc w:val="center"/>
                    <w:rPr>
                      <w:sz w:val="21"/>
                      <w:szCs w:val="21"/>
                    </w:rPr>
                  </w:pPr>
                </w:p>
              </w:tc>
              <w:tc>
                <w:tcPr>
                  <w:tcW w:w="1104" w:type="dxa"/>
                  <w:shd w:val="clear" w:color="auto" w:fill="auto"/>
                  <w:vAlign w:val="center"/>
                </w:tcPr>
                <w:p>
                  <w:pPr>
                    <w:spacing w:line="240" w:lineRule="auto"/>
                    <w:ind w:firstLine="0" w:firstLineChars="0"/>
                    <w:jc w:val="center"/>
                    <w:rPr>
                      <w:sz w:val="21"/>
                      <w:szCs w:val="21"/>
                    </w:rPr>
                  </w:pPr>
                  <w:r>
                    <w:rPr>
                      <w:rFonts w:hint="eastAsia"/>
                      <w:sz w:val="21"/>
                      <w:szCs w:val="21"/>
                    </w:rPr>
                    <w:t>设备包装垃圾</w:t>
                  </w:r>
                </w:p>
              </w:tc>
              <w:tc>
                <w:tcPr>
                  <w:tcW w:w="5625" w:type="dxa"/>
                  <w:vMerge w:val="continue"/>
                  <w:shd w:val="clear" w:color="auto" w:fill="auto"/>
                  <w:vAlign w:val="center"/>
                </w:tcPr>
                <w:p>
                  <w:pPr>
                    <w:spacing w:line="240" w:lineRule="auto"/>
                    <w:ind w:firstLine="0" w:firstLineChars="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31" w:type="dxa"/>
                  <w:vMerge w:val="continue"/>
                  <w:shd w:val="clear" w:color="auto" w:fill="auto"/>
                  <w:vAlign w:val="center"/>
                </w:tcPr>
                <w:p>
                  <w:pPr>
                    <w:spacing w:line="240" w:lineRule="auto"/>
                    <w:ind w:firstLine="0" w:firstLineChars="0"/>
                    <w:jc w:val="center"/>
                    <w:rPr>
                      <w:sz w:val="21"/>
                      <w:szCs w:val="21"/>
                    </w:rPr>
                  </w:pPr>
                </w:p>
              </w:tc>
              <w:tc>
                <w:tcPr>
                  <w:tcW w:w="1104" w:type="dxa"/>
                  <w:shd w:val="clear" w:color="auto" w:fill="auto"/>
                  <w:vAlign w:val="center"/>
                </w:tcPr>
                <w:p>
                  <w:pPr>
                    <w:spacing w:line="240" w:lineRule="auto"/>
                    <w:ind w:firstLine="0" w:firstLineChars="0"/>
                    <w:jc w:val="center"/>
                    <w:rPr>
                      <w:sz w:val="21"/>
                      <w:szCs w:val="21"/>
                    </w:rPr>
                  </w:pPr>
                  <w:r>
                    <w:rPr>
                      <w:sz w:val="21"/>
                      <w:szCs w:val="21"/>
                    </w:rPr>
                    <w:t>施工人员生活垃圾</w:t>
                  </w:r>
                </w:p>
              </w:tc>
              <w:tc>
                <w:tcPr>
                  <w:tcW w:w="5625" w:type="dxa"/>
                  <w:shd w:val="clear" w:color="auto" w:fill="auto"/>
                  <w:vAlign w:val="center"/>
                </w:tcPr>
                <w:p>
                  <w:pPr>
                    <w:spacing w:line="240" w:lineRule="auto"/>
                    <w:ind w:firstLine="0" w:firstLineChars="0"/>
                    <w:jc w:val="center"/>
                    <w:rPr>
                      <w:sz w:val="21"/>
                      <w:szCs w:val="21"/>
                    </w:rPr>
                  </w:pPr>
                  <w:r>
                    <w:rPr>
                      <w:sz w:val="21"/>
                      <w:szCs w:val="21"/>
                    </w:rPr>
                    <w:t>由环卫工作人员及时清运处置，严禁乱堆乱扔，防止产生二次污染</w:t>
                  </w:r>
                </w:p>
              </w:tc>
            </w:tr>
          </w:tbl>
          <w:p>
            <w:pPr>
              <w:pStyle w:val="56"/>
              <w:rPr>
                <w:lang w:val="en-US"/>
              </w:rPr>
            </w:pPr>
          </w:p>
          <w:p>
            <w:pPr>
              <w:ind w:firstLine="480"/>
            </w:pPr>
            <w:r>
              <w:rPr>
                <w:rFonts w:hint="eastAsia"/>
              </w:rPr>
              <w:t>综上所述，本项目施工期产生的各类废物对周围环境的影响不大。</w:t>
            </w:r>
          </w:p>
          <w:p>
            <w:pPr>
              <w:ind w:firstLine="480"/>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8" w:hRule="atLeast"/>
          <w:jc w:val="center"/>
        </w:trPr>
        <w:tc>
          <w:tcPr>
            <w:tcW w:w="1232" w:type="dxa"/>
            <w:vAlign w:val="center"/>
          </w:tcPr>
          <w:p>
            <w:pPr>
              <w:spacing w:line="240" w:lineRule="auto"/>
              <w:ind w:firstLine="0" w:firstLineChars="0"/>
              <w:jc w:val="center"/>
            </w:pPr>
            <w:r>
              <w:rPr>
                <w:rFonts w:hint="eastAsia"/>
              </w:rPr>
              <w:t>运营期环境影响和保护措施</w:t>
            </w:r>
          </w:p>
        </w:tc>
        <w:tc>
          <w:tcPr>
            <w:tcW w:w="7638" w:type="dxa"/>
          </w:tcPr>
          <w:p>
            <w:pPr>
              <w:pStyle w:val="3"/>
              <w:rPr>
                <w:lang w:eastAsia="zh-CN"/>
              </w:rPr>
            </w:pPr>
            <w:bookmarkStart w:id="116" w:name="_Toc120889819"/>
            <w:bookmarkStart w:id="117" w:name="_Toc121147748"/>
            <w:bookmarkStart w:id="118" w:name="_Toc122338516"/>
            <w:r>
              <w:rPr>
                <w:rFonts w:hint="eastAsia"/>
                <w:lang w:eastAsia="zh-CN"/>
              </w:rPr>
              <w:t>运营期环境影响和环保措施</w:t>
            </w:r>
            <w:bookmarkEnd w:id="116"/>
            <w:bookmarkEnd w:id="117"/>
            <w:bookmarkEnd w:id="118"/>
          </w:p>
          <w:p>
            <w:pPr>
              <w:pStyle w:val="4"/>
            </w:pPr>
            <w:bookmarkStart w:id="119" w:name="_Toc120889820"/>
            <w:bookmarkStart w:id="120" w:name="_Toc121147749"/>
            <w:bookmarkStart w:id="121" w:name="_Toc122338517"/>
            <w:r>
              <w:rPr>
                <w:rFonts w:hint="eastAsia"/>
                <w:lang w:eastAsia="zh-CN"/>
              </w:rPr>
              <w:t>运营期水环境</w:t>
            </w:r>
            <w:bookmarkEnd w:id="119"/>
            <w:bookmarkEnd w:id="120"/>
            <w:bookmarkEnd w:id="121"/>
          </w:p>
          <w:p>
            <w:pPr>
              <w:pStyle w:val="5"/>
            </w:pPr>
            <w:r>
              <w:rPr>
                <w:rFonts w:hint="eastAsia"/>
              </w:rPr>
              <w:t>水环境影响及排放情况</w:t>
            </w:r>
          </w:p>
          <w:p>
            <w:pPr>
              <w:ind w:firstLine="480"/>
              <w:rPr>
                <w:lang w:val="zh-CN"/>
              </w:rPr>
            </w:pPr>
            <w:r>
              <w:rPr>
                <w:rFonts w:hint="eastAsia"/>
                <w:lang w:val="zh-CN"/>
              </w:rPr>
              <w:t>本项目产生的废水主要为生活污水和实验室废水（纯水制备浓水、高压灭菌锅更换废水、地面清洁废水）。</w:t>
            </w:r>
          </w:p>
          <w:p>
            <w:pPr>
              <w:ind w:firstLine="480"/>
              <w:rPr>
                <w:lang w:val="zh-CN"/>
              </w:rPr>
            </w:pPr>
            <w:r>
              <w:rPr>
                <w:rFonts w:hint="eastAsia"/>
                <w:lang w:val="zh-CN"/>
              </w:rPr>
              <w:t>（1）生活污水</w:t>
            </w:r>
          </w:p>
          <w:p>
            <w:pPr>
              <w:ind w:firstLine="480"/>
              <w:rPr>
                <w:lang w:val="zh-CN"/>
              </w:rPr>
            </w:pPr>
            <w:r>
              <w:rPr>
                <w:rFonts w:hint="eastAsia"/>
                <w:lang w:val="zh-CN"/>
              </w:rPr>
              <w:t>本实验室项目共有员工</w:t>
            </w:r>
            <w:r>
              <w:rPr>
                <w:lang w:val="zh-CN"/>
              </w:rPr>
              <w:t>15</w:t>
            </w:r>
            <w:r>
              <w:rPr>
                <w:rFonts w:hint="eastAsia"/>
                <w:lang w:val="zh-CN"/>
              </w:rPr>
              <w:t>人，年工作36</w:t>
            </w:r>
            <w:r>
              <w:rPr>
                <w:lang w:val="zh-CN"/>
              </w:rPr>
              <w:t>5</w:t>
            </w:r>
            <w:r>
              <w:rPr>
                <w:rFonts w:hint="eastAsia"/>
                <w:lang w:val="zh-CN"/>
              </w:rPr>
              <w:t>天。根据广东省《用水定额 第3部分：生活》（DB44/T1461.3-2021），机关单位</w:t>
            </w:r>
            <w:r>
              <w:rPr>
                <w:rFonts w:hint="eastAsia"/>
              </w:rPr>
              <w:t>无食堂和浴室办公楼的先进值定额10m</w:t>
            </w:r>
            <w:r>
              <w:rPr>
                <w:vertAlign w:val="superscript"/>
              </w:rPr>
              <w:t>3</w:t>
            </w:r>
            <w:r>
              <w:rPr>
                <w:rFonts w:hint="eastAsia"/>
              </w:rPr>
              <w:t>/（人·a），有食堂和浴室办公楼的先进值定额15m</w:t>
            </w:r>
            <w:r>
              <w:rPr>
                <w:vertAlign w:val="superscript"/>
              </w:rPr>
              <w:t>3</w:t>
            </w:r>
            <w:r>
              <w:rPr>
                <w:rFonts w:hint="eastAsia"/>
              </w:rPr>
              <w:t>/（人·a）。</w:t>
            </w:r>
            <w:r>
              <w:rPr>
                <w:rFonts w:hint="eastAsia"/>
                <w:lang w:val="zh-CN"/>
              </w:rPr>
              <w:t>由于项目实验室内设有淋浴间，员工进入工作环境中需要进行淋浴，则项目生活用水使用有食堂和浴室的先进值（</w:t>
            </w:r>
            <w:r>
              <w:rPr>
                <w:rFonts w:hint="eastAsia"/>
              </w:rPr>
              <w:t>15m</w:t>
            </w:r>
            <w:r>
              <w:rPr>
                <w:vertAlign w:val="superscript"/>
              </w:rPr>
              <w:t>3</w:t>
            </w:r>
            <w:r>
              <w:rPr>
                <w:rFonts w:hint="eastAsia"/>
              </w:rPr>
              <w:t>/（人·a）</w:t>
            </w:r>
            <w:r>
              <w:rPr>
                <w:rFonts w:hint="eastAsia"/>
                <w:lang w:val="zh-CN"/>
              </w:rPr>
              <w:t>）进行核算，则生活用水量为</w:t>
            </w:r>
            <w:r>
              <w:rPr>
                <w:lang w:val="zh-CN"/>
              </w:rPr>
              <w:t>0.616</w:t>
            </w:r>
            <w:r>
              <w:rPr>
                <w:rFonts w:hint="eastAsia"/>
                <w:lang w:val="zh-CN"/>
              </w:rPr>
              <w:t>t/d（</w:t>
            </w:r>
            <w:r>
              <w:rPr>
                <w:lang w:val="zh-CN"/>
              </w:rPr>
              <w:t>225</w:t>
            </w:r>
            <w:r>
              <w:rPr>
                <w:rFonts w:hint="eastAsia"/>
                <w:lang w:val="zh-CN"/>
              </w:rPr>
              <w:t>t/a），产污系数取0.9，则生活污水排放量为</w:t>
            </w:r>
            <w:r>
              <w:rPr>
                <w:lang w:val="zh-CN"/>
              </w:rPr>
              <w:t>0.555</w:t>
            </w:r>
            <w:r>
              <w:rPr>
                <w:rFonts w:hint="eastAsia"/>
                <w:lang w:val="zh-CN"/>
              </w:rPr>
              <w:t>t/d（2</w:t>
            </w:r>
            <w:r>
              <w:rPr>
                <w:lang w:val="zh-CN"/>
              </w:rPr>
              <w:t>02.5</w:t>
            </w:r>
            <w:r>
              <w:rPr>
                <w:rFonts w:hint="eastAsia"/>
                <w:lang w:val="zh-CN"/>
              </w:rPr>
              <w:t>t/a），主要污染物为CODCr、BOD5、SS、NH3-N等。项目生活废水通过</w:t>
            </w:r>
            <w:r>
              <w:rPr>
                <w:rFonts w:hint="eastAsia"/>
              </w:rPr>
              <w:t>企业自建的污水处理设施</w:t>
            </w:r>
            <w:r>
              <w:t>处理</w:t>
            </w:r>
            <w:r>
              <w:rPr>
                <w:rFonts w:hint="eastAsia"/>
                <w:lang w:val="zh-CN"/>
              </w:rPr>
              <w:t>达标后通过园区管网排放至茂名高新技术产业开发区污水处理厂进行深度处理。</w:t>
            </w:r>
          </w:p>
          <w:p>
            <w:pPr>
              <w:ind w:firstLine="480"/>
              <w:rPr>
                <w:lang w:val="zh-CN"/>
              </w:rPr>
            </w:pPr>
            <w:r>
              <w:rPr>
                <w:rFonts w:hint="eastAsia"/>
                <w:lang w:val="zh-CN"/>
              </w:rPr>
              <w:t>（2）实验室废水</w:t>
            </w:r>
          </w:p>
          <w:p>
            <w:pPr>
              <w:ind w:firstLine="480"/>
              <w:rPr>
                <w:rFonts w:ascii="宋体" w:hAnsi="宋体" w:cs="宋体"/>
                <w:lang w:val="zh-CN"/>
              </w:rPr>
            </w:pPr>
            <w:r>
              <w:rPr>
                <w:rFonts w:hint="eastAsia" w:ascii="宋体" w:hAnsi="宋体" w:cs="宋体"/>
                <w:lang w:val="zh-CN"/>
              </w:rPr>
              <w:t>①纯水制备浓水</w:t>
            </w:r>
          </w:p>
          <w:p>
            <w:pPr>
              <w:ind w:firstLine="480"/>
              <w:rPr>
                <w:lang w:val="zh-CN"/>
              </w:rPr>
            </w:pPr>
            <w:r>
              <w:rPr>
                <w:rFonts w:hint="eastAsia"/>
                <w:lang w:val="zh-CN"/>
              </w:rPr>
              <w:t>本项目设有1套5</w:t>
            </w:r>
            <w:r>
              <w:rPr>
                <w:lang w:val="zh-CN"/>
              </w:rPr>
              <w:t>0</w:t>
            </w:r>
            <w:r>
              <w:rPr>
                <w:rFonts w:hint="eastAsia"/>
                <w:lang w:val="zh-CN"/>
              </w:rPr>
              <w:t>0L/h的纯水机，主要用于仪器的清洗、部分检验分析工作。纯水制备系统以自来水为原料，在制备纯水时会产生少量的浓水。根据企业提供资料，本项目纯水用量为</w:t>
            </w:r>
            <w:r>
              <w:rPr>
                <w:lang w:val="zh-CN"/>
              </w:rPr>
              <w:t>320.01</w:t>
            </w:r>
            <w:r>
              <w:rPr>
                <w:rFonts w:hint="eastAsia"/>
                <w:lang w:val="zh-CN"/>
              </w:rPr>
              <w:t>t/a（0</w:t>
            </w:r>
            <w:r>
              <w:rPr>
                <w:lang w:val="zh-CN"/>
              </w:rPr>
              <w:t>.877</w:t>
            </w:r>
            <w:r>
              <w:rPr>
                <w:rFonts w:hint="eastAsia"/>
                <w:lang w:val="zh-CN"/>
              </w:rPr>
              <w:t>t/d），纯水机制水率约为</w:t>
            </w:r>
            <w:r>
              <w:rPr>
                <w:lang w:val="zh-CN"/>
              </w:rPr>
              <w:t>8</w:t>
            </w:r>
            <w:r>
              <w:rPr>
                <w:rFonts w:hint="eastAsia"/>
                <w:lang w:val="zh-CN"/>
              </w:rPr>
              <w:t>0%，则自来水用量约</w:t>
            </w:r>
            <w:r>
              <w:rPr>
                <w:lang w:val="zh-CN"/>
              </w:rPr>
              <w:t>400</w:t>
            </w:r>
            <w:r>
              <w:rPr>
                <w:rFonts w:hint="eastAsia"/>
                <w:lang w:val="zh-CN"/>
              </w:rPr>
              <w:t>t/a（1</w:t>
            </w:r>
            <w:r>
              <w:rPr>
                <w:lang w:val="zh-CN"/>
              </w:rPr>
              <w:t>.096</w:t>
            </w:r>
            <w:r>
              <w:rPr>
                <w:rFonts w:hint="eastAsia"/>
                <w:lang w:val="zh-CN"/>
              </w:rPr>
              <w:t>t/d），浓水产生量约</w:t>
            </w:r>
            <w:r>
              <w:rPr>
                <w:lang w:val="zh-CN"/>
              </w:rPr>
              <w:t>79.99</w:t>
            </w:r>
            <w:r>
              <w:rPr>
                <w:rFonts w:hint="eastAsia"/>
                <w:lang w:val="zh-CN"/>
              </w:rPr>
              <w:t>t/a（0</w:t>
            </w:r>
            <w:r>
              <w:rPr>
                <w:lang w:val="zh-CN"/>
              </w:rPr>
              <w:t>.219</w:t>
            </w:r>
            <w:r>
              <w:rPr>
                <w:rFonts w:hint="eastAsia"/>
                <w:lang w:val="zh-CN"/>
              </w:rPr>
              <w:t>t/d），，则纯水制造中浓水的排放量为</w:t>
            </w:r>
            <w:r>
              <w:rPr>
                <w:lang w:val="zh-CN"/>
              </w:rPr>
              <w:t>79.99</w:t>
            </w:r>
            <w:r>
              <w:rPr>
                <w:rFonts w:hint="eastAsia"/>
                <w:lang w:val="zh-CN"/>
              </w:rPr>
              <w:t>t/a（0</w:t>
            </w:r>
            <w:r>
              <w:rPr>
                <w:lang w:val="zh-CN"/>
              </w:rPr>
              <w:t>.219</w:t>
            </w:r>
            <w:r>
              <w:rPr>
                <w:rFonts w:hint="eastAsia"/>
                <w:lang w:val="zh-CN"/>
              </w:rPr>
              <w:t>t/d）。</w:t>
            </w:r>
          </w:p>
          <w:p>
            <w:pPr>
              <w:ind w:firstLine="480"/>
              <w:rPr>
                <w:lang w:val="zh-CN"/>
              </w:rPr>
            </w:pPr>
            <w:r>
              <w:rPr>
                <w:rFonts w:hint="eastAsia"/>
                <w:lang w:val="zh-CN"/>
              </w:rPr>
              <w:t>浓水主要浓缩了一定浓度的钙、镁、钠等离子，水质简单，主要污染因子为SS和无机盐类，该类废水经污水管道排入自建污水处理设施处理通过经园区污水管网排至污水处理厂进行深度处理。</w:t>
            </w:r>
          </w:p>
          <w:p>
            <w:pPr>
              <w:ind w:firstLine="480"/>
              <w:rPr>
                <w:lang w:val="zh-CN"/>
              </w:rPr>
            </w:pPr>
            <w:r>
              <w:rPr>
                <w:rFonts w:hint="eastAsia"/>
                <w:lang w:val="zh-CN"/>
              </w:rPr>
              <w:t>企业制备的纯水主要是用水仪器及器皿的后清洗、高压锅用水、还有少量的实验用水。</w:t>
            </w:r>
          </w:p>
          <w:p>
            <w:pPr>
              <w:ind w:firstLine="480"/>
              <w:rPr>
                <w:lang w:val="zh-CN"/>
              </w:rPr>
            </w:pPr>
            <w:r>
              <w:rPr>
                <w:rFonts w:hint="eastAsia"/>
                <w:lang w:val="zh-CN"/>
              </w:rPr>
              <w:t>②实验器具清洗废水</w:t>
            </w:r>
          </w:p>
          <w:p>
            <w:pPr>
              <w:ind w:firstLine="480"/>
              <w:rPr>
                <w:lang w:val="zh-CN"/>
              </w:rPr>
            </w:pPr>
            <w:r>
              <w:rPr>
                <w:rFonts w:hint="eastAsia"/>
                <w:lang w:val="zh-CN"/>
              </w:rPr>
              <w:t>本项目部分实验仪器在使用后需进行清洗，在此过程中会产生一定量的清洗废水，其中前两次清洗的器皿或仪器含实验废液较多，应作为危废进行处置，后续的清洗废水作为普通废水通过企业自建污水处理站进行处理。</w:t>
            </w:r>
          </w:p>
          <w:p>
            <w:pPr>
              <w:ind w:firstLine="480"/>
              <w:rPr>
                <w:lang w:val="zh-CN"/>
              </w:rPr>
            </w:pPr>
            <w:r>
              <w:rPr>
                <w:rFonts w:hint="eastAsia"/>
                <w:lang w:val="zh-CN"/>
              </w:rPr>
              <w:t>前清洗废液：用自来水清洗掉容器内外壁粘附的初次清洗废液（高浓度）并倒入废液收集桶内；第二次清洗废液也作为危废倒入收集桶。根据《国家危险废物名录》，高浓度试验废液属于危险废物，需要分类收集、用特定的收集装置密闭贮存，送有资质的危险废物处理单位集中处理。项目前</w:t>
            </w:r>
            <w:r>
              <w:rPr>
                <w:lang w:val="zh-CN"/>
              </w:rPr>
              <w:t>2</w:t>
            </w:r>
            <w:r>
              <w:rPr>
                <w:rFonts w:hint="eastAsia"/>
                <w:lang w:val="zh-CN"/>
              </w:rPr>
              <w:t>遍清洗器皿使用自来水，用水量约</w:t>
            </w:r>
            <w:r>
              <w:rPr>
                <w:lang w:val="zh-CN"/>
              </w:rPr>
              <w:t>0.5</w:t>
            </w:r>
            <w:r>
              <w:rPr>
                <w:rFonts w:hint="eastAsia"/>
                <w:lang w:val="zh-CN"/>
              </w:rPr>
              <w:t>t/d（</w:t>
            </w:r>
            <w:r>
              <w:rPr>
                <w:lang w:val="zh-CN"/>
              </w:rPr>
              <w:t>182.5</w:t>
            </w:r>
            <w:r>
              <w:rPr>
                <w:rFonts w:hint="eastAsia"/>
                <w:lang w:val="zh-CN"/>
              </w:rPr>
              <w:t>m</w:t>
            </w:r>
            <w:r>
              <w:rPr>
                <w:rFonts w:hint="eastAsia"/>
                <w:vertAlign w:val="superscript"/>
                <w:lang w:val="zh-CN"/>
              </w:rPr>
              <w:t>3</w:t>
            </w:r>
            <w:r>
              <w:rPr>
                <w:rFonts w:hint="eastAsia"/>
                <w:lang w:val="zh-CN"/>
              </w:rPr>
              <w:t>/a）；</w:t>
            </w:r>
          </w:p>
          <w:p>
            <w:pPr>
              <w:ind w:firstLine="480"/>
              <w:rPr>
                <w:lang w:val="zh-CN"/>
              </w:rPr>
            </w:pPr>
            <w:r>
              <w:rPr>
                <w:rFonts w:hint="eastAsia"/>
                <w:lang w:val="zh-CN"/>
              </w:rPr>
              <w:t>根据企业提供资料，经过前清洗后的器皿及仪器，再使用纯水清洗器皿，用水量为</w:t>
            </w:r>
            <w:r>
              <w:rPr>
                <w:lang w:val="zh-CN"/>
              </w:rPr>
              <w:t>0.834</w:t>
            </w:r>
            <w:r>
              <w:rPr>
                <w:rFonts w:hint="eastAsia"/>
                <w:lang w:val="zh-CN"/>
              </w:rPr>
              <w:t>t/d（</w:t>
            </w:r>
            <w:r>
              <w:rPr>
                <w:lang w:val="zh-CN"/>
              </w:rPr>
              <w:t>304.41</w:t>
            </w:r>
            <w:r>
              <w:rPr>
                <w:rFonts w:hint="eastAsia"/>
                <w:lang w:val="zh-CN"/>
              </w:rPr>
              <w:t>t/a），废水产生量按90%计算，则清洗实验室器皿废水排放量为</w:t>
            </w:r>
            <w:r>
              <w:rPr>
                <w:lang w:val="zh-CN"/>
              </w:rPr>
              <w:t>0.7506</w:t>
            </w:r>
            <w:r>
              <w:rPr>
                <w:rFonts w:hint="eastAsia"/>
                <w:lang w:val="zh-CN"/>
              </w:rPr>
              <w:t>t/d（</w:t>
            </w:r>
            <w:r>
              <w:rPr>
                <w:lang w:val="zh-CN"/>
              </w:rPr>
              <w:t>273.969</w:t>
            </w:r>
            <w:r>
              <w:rPr>
                <w:rFonts w:hint="eastAsia"/>
                <w:lang w:val="zh-CN"/>
              </w:rPr>
              <w:t>t/a），主要污染因子为pH、COD</w:t>
            </w:r>
            <w:r>
              <w:rPr>
                <w:rFonts w:hint="eastAsia"/>
                <w:vertAlign w:val="subscript"/>
                <w:lang w:val="zh-CN"/>
              </w:rPr>
              <w:t>Cr</w:t>
            </w:r>
            <w:r>
              <w:rPr>
                <w:rFonts w:hint="eastAsia"/>
                <w:lang w:val="zh-CN"/>
              </w:rPr>
              <w:t>、BOD</w:t>
            </w:r>
            <w:r>
              <w:rPr>
                <w:rFonts w:hint="eastAsia"/>
                <w:vertAlign w:val="subscript"/>
                <w:lang w:val="zh-CN"/>
              </w:rPr>
              <w:t>5</w:t>
            </w:r>
            <w:r>
              <w:rPr>
                <w:rFonts w:hint="eastAsia"/>
                <w:lang w:val="zh-CN"/>
              </w:rPr>
              <w:t>、NH</w:t>
            </w:r>
            <w:r>
              <w:rPr>
                <w:rFonts w:hint="eastAsia"/>
                <w:vertAlign w:val="subscript"/>
                <w:lang w:val="zh-CN"/>
              </w:rPr>
              <w:t>3</w:t>
            </w:r>
            <w:r>
              <w:rPr>
                <w:rFonts w:hint="eastAsia"/>
                <w:lang w:val="zh-CN"/>
              </w:rPr>
              <w:t>-N、SS等。</w:t>
            </w:r>
          </w:p>
          <w:p>
            <w:pPr>
              <w:ind w:firstLine="480"/>
              <w:rPr>
                <w:lang w:val="zh-CN"/>
              </w:rPr>
            </w:pPr>
            <w:r>
              <w:rPr>
                <w:rFonts w:hint="eastAsia"/>
                <w:lang w:val="zh-CN"/>
              </w:rPr>
              <w:t>③高压灭菌锅更换废水</w:t>
            </w:r>
          </w:p>
          <w:p>
            <w:pPr>
              <w:ind w:firstLine="480"/>
            </w:pPr>
            <w:r>
              <w:t>本项目</w:t>
            </w:r>
            <w:r>
              <w:rPr>
                <w:rFonts w:hint="eastAsia"/>
              </w:rPr>
              <w:t>实验室共配备有1</w:t>
            </w:r>
            <w:r>
              <w:t>7</w:t>
            </w:r>
            <w:r>
              <w:rPr>
                <w:rFonts w:hint="eastAsia"/>
              </w:rPr>
              <w:t>台高压灭菌锅，其中每1</w:t>
            </w:r>
            <w:r>
              <w:t>台高压灭菌锅用水量为50L，由于蒸发损耗，需定期补充纯水</w:t>
            </w:r>
            <w:r>
              <w:rPr>
                <w:rFonts w:hint="eastAsia"/>
              </w:rPr>
              <w:t>，纯水不直接接触物料</w:t>
            </w:r>
            <w:r>
              <w:t>。根据建设单位提供的资料，本项目灭菌锅每周补一次纯水，每次补</w:t>
            </w:r>
            <w:r>
              <w:rPr>
                <w:rFonts w:hint="eastAsia"/>
              </w:rPr>
              <w:t>5</w:t>
            </w:r>
            <w:r>
              <w:t>L，每个月更换一次水，按年使用</w:t>
            </w:r>
            <w:r>
              <w:rPr>
                <w:rFonts w:hint="eastAsia"/>
              </w:rPr>
              <w:t>1</w:t>
            </w:r>
            <w:r>
              <w:t>2</w:t>
            </w:r>
            <w:r>
              <w:rPr>
                <w:rFonts w:hint="eastAsia"/>
              </w:rPr>
              <w:t>月（</w:t>
            </w:r>
            <w:r>
              <w:t>52周</w:t>
            </w:r>
            <w:r>
              <w:rPr>
                <w:rFonts w:hint="eastAsia"/>
              </w:rPr>
              <w:t>）</w:t>
            </w:r>
            <w:r>
              <w:t>计算，则灭菌锅更换</w:t>
            </w:r>
            <w:r>
              <w:rPr>
                <w:rFonts w:hint="eastAsia"/>
              </w:rPr>
              <w:t>纯</w:t>
            </w:r>
            <w:r>
              <w:t>水量约</w:t>
            </w:r>
            <w:r>
              <w:rPr>
                <w:rFonts w:hint="eastAsia"/>
              </w:rPr>
              <w:t>（1</w:t>
            </w:r>
            <w:r>
              <w:t>2*50/1000</w:t>
            </w:r>
            <w:r>
              <w:rPr>
                <w:rFonts w:hint="eastAsia"/>
              </w:rPr>
              <w:t>=）0.</w:t>
            </w:r>
            <w:r>
              <w:t>6t/a</w:t>
            </w:r>
            <w:r>
              <w:rPr>
                <w:rFonts w:hint="eastAsia"/>
              </w:rPr>
              <w:t>，</w:t>
            </w:r>
            <w:r>
              <w:t>补充纯水量约</w:t>
            </w:r>
            <w:r>
              <w:rPr>
                <w:rFonts w:hint="eastAsia"/>
              </w:rPr>
              <w:t>（（5</w:t>
            </w:r>
            <w:r>
              <w:t>2-12</w:t>
            </w:r>
            <w:r>
              <w:rPr>
                <w:rFonts w:hint="eastAsia"/>
              </w:rPr>
              <w:t>）</w:t>
            </w:r>
            <w:r>
              <w:t>*5/1000</w:t>
            </w:r>
            <w:r>
              <w:rPr>
                <w:rFonts w:hint="eastAsia"/>
              </w:rPr>
              <w:t>=）0.2</w:t>
            </w:r>
            <w:r>
              <w:t>t/a，年用水量为</w:t>
            </w:r>
            <w:r>
              <w:rPr>
                <w:rFonts w:hint="eastAsia"/>
              </w:rPr>
              <w:t>0.</w:t>
            </w:r>
            <w:r>
              <w:t>8t/a。</w:t>
            </w:r>
          </w:p>
          <w:p>
            <w:pPr>
              <w:ind w:firstLine="480"/>
            </w:pPr>
            <w:r>
              <w:rPr>
                <w:rFonts w:hint="eastAsia"/>
              </w:rPr>
              <w:t>实验室共配备有1</w:t>
            </w:r>
            <w:r>
              <w:t>7</w:t>
            </w:r>
            <w:r>
              <w:rPr>
                <w:rFonts w:hint="eastAsia"/>
              </w:rPr>
              <w:t>台高压灭菌锅，则实验室的高压灭菌锅</w:t>
            </w:r>
            <w:r>
              <w:t>年</w:t>
            </w:r>
            <w:r>
              <w:rPr>
                <w:rFonts w:hint="eastAsia"/>
              </w:rPr>
              <w:t>总</w:t>
            </w:r>
            <w:r>
              <w:t>补充纯水量约3.4t/a</w:t>
            </w:r>
            <w:r>
              <w:rPr>
                <w:rFonts w:hint="eastAsia"/>
              </w:rPr>
              <w:t>（0</w:t>
            </w:r>
            <w:r>
              <w:t>.0093</w:t>
            </w:r>
            <w:r>
              <w:rPr>
                <w:rFonts w:hint="eastAsia"/>
              </w:rPr>
              <w:t>t/d）</w:t>
            </w:r>
            <w:r>
              <w:t>，更换废水量约10.2t/a</w:t>
            </w:r>
            <w:r>
              <w:rPr>
                <w:rFonts w:hint="eastAsia"/>
              </w:rPr>
              <w:t>（0</w:t>
            </w:r>
            <w:r>
              <w:t>.0279</w:t>
            </w:r>
            <w:r>
              <w:rPr>
                <w:rFonts w:hint="eastAsia"/>
              </w:rPr>
              <w:t>t/d）</w:t>
            </w:r>
            <w:r>
              <w:t>，年用水量为13.6t/a</w:t>
            </w:r>
            <w:r>
              <w:rPr>
                <w:rFonts w:hint="eastAsia"/>
              </w:rPr>
              <w:t>（0</w:t>
            </w:r>
            <w:r>
              <w:t>.0373</w:t>
            </w:r>
            <w:r>
              <w:rPr>
                <w:rFonts w:hint="eastAsia"/>
              </w:rPr>
              <w:t>t/d）。补水部分的纯水通过蒸馏作用挥发，因此高压锅废水的产生主要来源于企业的换水量（1</w:t>
            </w:r>
            <w:r>
              <w:t>0.2</w:t>
            </w:r>
            <w:r>
              <w:rPr>
                <w:rFonts w:hint="eastAsia"/>
              </w:rPr>
              <w:t>t/a），则高压锅废水排放量为</w:t>
            </w:r>
            <w:r>
              <w:t>10.2t/a</w:t>
            </w:r>
            <w:r>
              <w:rPr>
                <w:rFonts w:hint="eastAsia"/>
              </w:rPr>
              <w:t>（0</w:t>
            </w:r>
            <w:r>
              <w:t>.0279</w:t>
            </w:r>
            <w:r>
              <w:rPr>
                <w:rFonts w:hint="eastAsia"/>
              </w:rPr>
              <w:t>t/d）。</w:t>
            </w:r>
          </w:p>
          <w:p>
            <w:pPr>
              <w:ind w:firstLine="480"/>
              <w:rPr>
                <w:lang w:val="zh-CN"/>
              </w:rPr>
            </w:pPr>
            <w:r>
              <w:t>灭菌锅更换废水中污染物含量较低，水质简单，主要为SS，该类废水经</w:t>
            </w:r>
            <w:r>
              <w:rPr>
                <w:rFonts w:hint="eastAsia"/>
              </w:rPr>
              <w:t>企业自建的污水处理设施处理后再</w:t>
            </w:r>
            <w:r>
              <w:t>通过经</w:t>
            </w:r>
            <w:r>
              <w:rPr>
                <w:rFonts w:hint="eastAsia"/>
              </w:rPr>
              <w:t>园区</w:t>
            </w:r>
            <w:r>
              <w:t>污水管网</w:t>
            </w:r>
            <w:r>
              <w:rPr>
                <w:rFonts w:hint="eastAsia"/>
              </w:rPr>
              <w:t>排至污水处理厂</w:t>
            </w:r>
            <w:r>
              <w:t>进行深度处理。</w:t>
            </w:r>
          </w:p>
          <w:p>
            <w:pPr>
              <w:ind w:firstLine="480"/>
              <w:rPr>
                <w:lang w:val="zh-CN"/>
              </w:rPr>
            </w:pPr>
            <w:r>
              <w:rPr>
                <w:rFonts w:hint="eastAsia"/>
                <w:lang w:val="zh-CN"/>
              </w:rPr>
              <w:t>④地面清洗废水</w:t>
            </w:r>
          </w:p>
          <w:p>
            <w:pPr>
              <w:ind w:firstLine="480"/>
            </w:pPr>
            <w:r>
              <w:t>项目试剂准备、标本制备、扩增间</w:t>
            </w:r>
            <w:r>
              <w:rPr>
                <w:rFonts w:hint="eastAsia"/>
              </w:rPr>
              <w:t>、分析及处理室</w:t>
            </w:r>
            <w:r>
              <w:t>每天拖地1次，</w:t>
            </w:r>
            <w:r>
              <w:rPr>
                <w:rFonts w:hint="eastAsia"/>
              </w:rPr>
              <w:t>需</w:t>
            </w:r>
            <w:r>
              <w:t>拖地面积共666.5m</w:t>
            </w:r>
            <w:r>
              <w:rPr>
                <w:vertAlign w:val="superscript"/>
              </w:rPr>
              <w:t>2</w:t>
            </w:r>
            <w:r>
              <w:t>。</w:t>
            </w:r>
            <w:r>
              <w:rPr>
                <w:rFonts w:hint="eastAsia"/>
              </w:rPr>
              <w:t>地面清洁废水按</w:t>
            </w:r>
            <w:r>
              <w:t>1.5L/m</w:t>
            </w:r>
            <w:r>
              <w:rPr>
                <w:vertAlign w:val="superscript"/>
              </w:rPr>
              <w:t>2</w:t>
            </w:r>
            <w:r>
              <w:t>/d计，则项目</w:t>
            </w:r>
            <w:r>
              <w:rPr>
                <w:rFonts w:hint="eastAsia"/>
              </w:rPr>
              <w:t>地面清洁</w:t>
            </w:r>
            <w:r>
              <w:t>用水1.0t/d（364.91t/a）。排污系数按照90%计，</w:t>
            </w:r>
            <w:r>
              <w:rPr>
                <w:rFonts w:hint="eastAsia"/>
              </w:rPr>
              <w:t>地面清洁废水</w:t>
            </w:r>
            <w:r>
              <w:t>排放量为0.9t/d（328.42t/a）。</w:t>
            </w:r>
            <w:r>
              <w:rPr>
                <w:rFonts w:hint="eastAsia"/>
              </w:rPr>
              <w:t>该类废水通过企业自建的污水处理设施</w:t>
            </w:r>
            <w:r>
              <w:t>处理</w:t>
            </w:r>
            <w:r>
              <w:rPr>
                <w:rFonts w:hint="eastAsia"/>
              </w:rPr>
              <w:t>后，经园区污水管网排至茂名高新技术产业开发区污水处理厂进行深度处理。</w:t>
            </w:r>
          </w:p>
          <w:p>
            <w:pPr>
              <w:ind w:firstLine="480"/>
              <w:rPr>
                <w:lang w:val="zh-CN"/>
              </w:rPr>
            </w:pPr>
            <w:r>
              <w:rPr>
                <w:rFonts w:hint="eastAsia"/>
                <w:lang w:val="zh-CN"/>
              </w:rPr>
              <w:t>上述</w:t>
            </w:r>
            <w:r>
              <w:rPr>
                <w:lang w:val="zh-CN"/>
              </w:rPr>
              <w:t>5</w:t>
            </w:r>
            <w:r>
              <w:rPr>
                <w:rFonts w:hint="eastAsia"/>
                <w:lang w:val="zh-CN"/>
              </w:rPr>
              <w:t>种废水混合后形成项目废水，总用水量为</w:t>
            </w:r>
            <w:r>
              <w:rPr>
                <w:lang w:val="zh-CN"/>
              </w:rPr>
              <w:t>1172.41</w:t>
            </w:r>
            <w:r>
              <w:rPr>
                <w:rFonts w:hint="eastAsia"/>
                <w:lang w:val="zh-CN"/>
              </w:rPr>
              <w:t>t/a（3</w:t>
            </w:r>
            <w:r>
              <w:rPr>
                <w:lang w:val="zh-CN"/>
              </w:rPr>
              <w:t>.21</w:t>
            </w:r>
            <w:r>
              <w:rPr>
                <w:rFonts w:hint="eastAsia"/>
                <w:lang w:val="zh-CN"/>
              </w:rPr>
              <w:t>t/a），废水的排放量为</w:t>
            </w:r>
            <w:r>
              <w:rPr>
                <w:lang w:val="zh-CN"/>
              </w:rPr>
              <w:t>895.079</w:t>
            </w:r>
            <w:r>
              <w:rPr>
                <w:rFonts w:hint="eastAsia"/>
                <w:lang w:val="zh-CN"/>
              </w:rPr>
              <w:t>t/a（2</w:t>
            </w:r>
            <w:r>
              <w:rPr>
                <w:lang w:val="zh-CN"/>
              </w:rPr>
              <w:t>.45</w:t>
            </w:r>
            <w:r>
              <w:rPr>
                <w:rFonts w:hint="eastAsia"/>
                <w:lang w:val="zh-CN"/>
              </w:rPr>
              <w:t>t/d）。</w:t>
            </w:r>
          </w:p>
          <w:p>
            <w:pPr>
              <w:ind w:firstLine="480"/>
            </w:pPr>
            <w:r>
              <w:t>项目实验室废水</w:t>
            </w:r>
            <w:r>
              <w:rPr>
                <w:rFonts w:hint="eastAsia"/>
              </w:rPr>
              <w:t>产生浓度引用《广东明志医院检验实验室有限公司扩建项目竣工环保验收监测报告》（报告编号：HSJC20210716010），该项目主要从事基因检测（包含血液样本基因检测和组织样本基因检测）、免疫学检测、病理学检测和新冠核酸检测，主要为各大医院提供检测服务，采用的试剂、检测工艺与本项目相似，具有可比性。</w:t>
            </w:r>
          </w:p>
          <w:p>
            <w:pPr>
              <w:ind w:firstLine="480"/>
              <w:rPr>
                <w:lang w:val="zh-CN"/>
              </w:rPr>
            </w:pPr>
            <w:r>
              <w:rPr>
                <w:rFonts w:hint="eastAsia"/>
              </w:rPr>
              <w:t>废水处理效率由设计单位提供。</w:t>
            </w:r>
            <w:r>
              <w:t>本项目废水污染物浓度详见</w:t>
            </w:r>
            <w:r>
              <w:rPr>
                <w:rFonts w:hint="eastAsia"/>
                <w:lang w:val="zh-CN"/>
              </w:rPr>
              <w:t>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项目废水产排情况</w:t>
            </w:r>
          </w:p>
          <w:tbl>
            <w:tblPr>
              <w:tblStyle w:val="36"/>
              <w:tblW w:w="5000" w:type="pct"/>
              <w:tblInd w:w="0" w:type="dxa"/>
              <w:tblLayout w:type="autofit"/>
              <w:tblCellMar>
                <w:top w:w="15" w:type="dxa"/>
                <w:left w:w="15" w:type="dxa"/>
                <w:bottom w:w="15" w:type="dxa"/>
                <w:right w:w="15" w:type="dxa"/>
              </w:tblCellMar>
            </w:tblPr>
            <w:tblGrid>
              <w:gridCol w:w="1796"/>
              <w:gridCol w:w="2306"/>
              <w:gridCol w:w="878"/>
              <w:gridCol w:w="827"/>
              <w:gridCol w:w="827"/>
              <w:gridCol w:w="893"/>
              <w:gridCol w:w="1681"/>
            </w:tblGrid>
            <w:tr>
              <w:tblPrEx>
                <w:tblCellMar>
                  <w:top w:w="15" w:type="dxa"/>
                  <w:left w:w="15" w:type="dxa"/>
                  <w:bottom w:w="15" w:type="dxa"/>
                  <w:right w:w="15" w:type="dxa"/>
                </w:tblCellMar>
              </w:tblPrEx>
              <w:trPr>
                <w:trHeight w:val="312" w:hRule="atLeast"/>
              </w:trPr>
              <w:tc>
                <w:tcPr>
                  <w:tcW w:w="2227" w:type="pct"/>
                  <w:gridSpan w:val="2"/>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r>
                    <w:t>污染物</w:t>
                  </w:r>
                </w:p>
              </w:tc>
              <w:tc>
                <w:tcPr>
                  <w:tcW w:w="477"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r>
                    <w:t>COD</w:t>
                  </w:r>
                  <w:r>
                    <w:rPr>
                      <w:rFonts w:hint="eastAsia"/>
                      <w:vertAlign w:val="subscript"/>
                    </w:rPr>
                    <w:t>C</w:t>
                  </w:r>
                  <w:r>
                    <w:rPr>
                      <w:vertAlign w:val="subscript"/>
                    </w:rPr>
                    <w:t>r</w:t>
                  </w:r>
                </w:p>
              </w:tc>
              <w:tc>
                <w:tcPr>
                  <w:tcW w:w="449"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r>
                    <w:t>BOD</w:t>
                  </w:r>
                  <w:r>
                    <w:rPr>
                      <w:rFonts w:hint="eastAsia"/>
                      <w:vertAlign w:val="subscript"/>
                    </w:rPr>
                    <w:t>5</w:t>
                  </w:r>
                </w:p>
              </w:tc>
              <w:tc>
                <w:tcPr>
                  <w:tcW w:w="449"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r>
                    <w:rPr>
                      <w:rFonts w:hint="eastAsia"/>
                    </w:rPr>
                    <w:t>SS</w:t>
                  </w:r>
                </w:p>
              </w:tc>
              <w:tc>
                <w:tcPr>
                  <w:tcW w:w="485"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r>
                    <w:t>NH</w:t>
                  </w:r>
                  <w:r>
                    <w:rPr>
                      <w:rFonts w:hint="eastAsia"/>
                      <w:vertAlign w:val="subscript"/>
                    </w:rPr>
                    <w:t>3</w:t>
                  </w:r>
                  <w:r>
                    <w:t>-N</w:t>
                  </w:r>
                </w:p>
              </w:tc>
              <w:tc>
                <w:tcPr>
                  <w:tcW w:w="913"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rFonts w:hint="eastAsia"/>
                      <w:lang w:val="en-US" w:eastAsia="zh-CN"/>
                    </w:rPr>
                    <w:t>粪大肠杆菌</w:t>
                  </w:r>
                </w:p>
              </w:tc>
            </w:tr>
            <w:tr>
              <w:tblPrEx>
                <w:tblCellMar>
                  <w:top w:w="15" w:type="dxa"/>
                  <w:left w:w="15" w:type="dxa"/>
                  <w:bottom w:w="15" w:type="dxa"/>
                  <w:right w:w="15" w:type="dxa"/>
                </w:tblCellMar>
              </w:tblPrEx>
              <w:trPr>
                <w:trHeight w:val="312" w:hRule="atLeast"/>
              </w:trPr>
              <w:tc>
                <w:tcPr>
                  <w:tcW w:w="975" w:type="pct"/>
                  <w:vMerge w:val="restar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eastAsia="zh-CN"/>
                    </w:rPr>
                  </w:pPr>
                  <w:r>
                    <w:rPr>
                      <w:rFonts w:hint="eastAsia"/>
                      <w:lang w:eastAsia="zh-CN"/>
                    </w:rPr>
                    <w:t>项目废水</w:t>
                  </w:r>
                </w:p>
                <w:p>
                  <w:pPr>
                    <w:pStyle w:val="66"/>
                  </w:pPr>
                  <w:r>
                    <w:rPr>
                      <w:rFonts w:hint="eastAsia"/>
                    </w:rPr>
                    <w:t>（</w:t>
                  </w:r>
                  <w:r>
                    <w:t>895.079</w:t>
                  </w:r>
                  <w:r>
                    <w:rPr>
                      <w:rFonts w:hint="eastAsia"/>
                    </w:rPr>
                    <w:t>t/a）</w:t>
                  </w:r>
                </w:p>
              </w:tc>
              <w:tc>
                <w:tcPr>
                  <w:tcW w:w="1252"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r>
                    <w:t>产生浓度（mg/L</w:t>
                  </w:r>
                  <w:r>
                    <w:rPr>
                      <w:rFonts w:hint="eastAsia"/>
                    </w:rPr>
                    <w:t>）</w:t>
                  </w:r>
                </w:p>
              </w:tc>
              <w:tc>
                <w:tcPr>
                  <w:tcW w:w="477"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lang w:val="en-US" w:eastAsia="zh-CN"/>
                    </w:rPr>
                    <w:t>288</w:t>
                  </w:r>
                </w:p>
              </w:tc>
              <w:tc>
                <w:tcPr>
                  <w:tcW w:w="449"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lang w:val="en-US" w:eastAsia="zh-CN"/>
                    </w:rPr>
                    <w:t>100</w:t>
                  </w:r>
                </w:p>
              </w:tc>
              <w:tc>
                <w:tcPr>
                  <w:tcW w:w="449"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lang w:val="en-US" w:eastAsia="zh-CN"/>
                    </w:rPr>
                    <w:t>42</w:t>
                  </w:r>
                </w:p>
              </w:tc>
              <w:tc>
                <w:tcPr>
                  <w:tcW w:w="485"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lang w:val="en-US" w:eastAsia="zh-CN"/>
                    </w:rPr>
                    <w:t>13.5</w:t>
                  </w:r>
                </w:p>
              </w:tc>
              <w:tc>
                <w:tcPr>
                  <w:tcW w:w="913"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lang w:val="en-US" w:eastAsia="zh-CN"/>
                    </w:rPr>
                    <w:t>24000MPN/L</w:t>
                  </w:r>
                </w:p>
              </w:tc>
            </w:tr>
            <w:tr>
              <w:tblPrEx>
                <w:tblCellMar>
                  <w:top w:w="15" w:type="dxa"/>
                  <w:left w:w="15" w:type="dxa"/>
                  <w:bottom w:w="15" w:type="dxa"/>
                  <w:right w:w="15" w:type="dxa"/>
                </w:tblCellMar>
              </w:tblPrEx>
              <w:trPr>
                <w:trHeight w:val="312" w:hRule="atLeast"/>
              </w:trPr>
              <w:tc>
                <w:tcPr>
                  <w:tcW w:w="975" w:type="pct"/>
                  <w:vMerge w:val="continue"/>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p>
              </w:tc>
              <w:tc>
                <w:tcPr>
                  <w:tcW w:w="1252" w:type="pct"/>
                  <w:tcBorders>
                    <w:top w:val="single" w:color="000000" w:sz="4" w:space="0"/>
                    <w:left w:val="single" w:color="000000" w:sz="4" w:space="0"/>
                    <w:bottom w:val="single" w:color="auto" w:sz="4" w:space="0"/>
                    <w:right w:val="single" w:color="000000" w:sz="4" w:space="0"/>
                  </w:tcBorders>
                  <w:noWrap/>
                  <w:tcMar>
                    <w:top w:w="17" w:type="dxa"/>
                    <w:left w:w="57" w:type="dxa"/>
                    <w:bottom w:w="17" w:type="dxa"/>
                    <w:right w:w="57" w:type="dxa"/>
                  </w:tcMar>
                  <w:vAlign w:val="center"/>
                </w:tcPr>
                <w:p>
                  <w:pPr>
                    <w:pStyle w:val="66"/>
                  </w:pPr>
                  <w:r>
                    <w:t>产生量（t</w:t>
                  </w:r>
                  <w:r>
                    <w:rPr>
                      <w:rFonts w:hint="eastAsia"/>
                    </w:rPr>
                    <w:t>/</w:t>
                  </w:r>
                  <w:r>
                    <w:t>a</w:t>
                  </w:r>
                  <w:r>
                    <w:rPr>
                      <w:rFonts w:hint="eastAsia"/>
                    </w:rPr>
                    <w:t>）</w:t>
                  </w:r>
                </w:p>
              </w:tc>
              <w:tc>
                <w:tcPr>
                  <w:tcW w:w="477" w:type="pct"/>
                  <w:tcBorders>
                    <w:top w:val="single" w:color="000000" w:sz="4" w:space="0"/>
                    <w:left w:val="single" w:color="000000" w:sz="4" w:space="0"/>
                    <w:bottom w:val="single" w:color="auto" w:sz="4" w:space="0"/>
                    <w:right w:val="single" w:color="000000" w:sz="4" w:space="0"/>
                  </w:tcBorders>
                  <w:noWrap/>
                  <w:tcMar>
                    <w:top w:w="17" w:type="dxa"/>
                    <w:left w:w="57" w:type="dxa"/>
                    <w:bottom w:w="17" w:type="dxa"/>
                    <w:right w:w="57" w:type="dxa"/>
                  </w:tcMar>
                  <w:vAlign w:val="center"/>
                </w:tcPr>
                <w:p>
                  <w:pPr>
                    <w:pStyle w:val="56"/>
                  </w:pPr>
                  <w:r>
                    <w:rPr>
                      <w:rFonts w:hint="eastAsia"/>
                    </w:rPr>
                    <w:t>0.258</w:t>
                  </w:r>
                </w:p>
              </w:tc>
              <w:tc>
                <w:tcPr>
                  <w:tcW w:w="449" w:type="pct"/>
                  <w:tcBorders>
                    <w:top w:val="single" w:color="000000" w:sz="4" w:space="0"/>
                    <w:left w:val="single" w:color="000000" w:sz="4" w:space="0"/>
                    <w:bottom w:val="single" w:color="auto" w:sz="4" w:space="0"/>
                    <w:right w:val="single" w:color="000000" w:sz="4" w:space="0"/>
                  </w:tcBorders>
                  <w:noWrap/>
                  <w:tcMar>
                    <w:top w:w="17" w:type="dxa"/>
                    <w:left w:w="57" w:type="dxa"/>
                    <w:bottom w:w="17" w:type="dxa"/>
                    <w:right w:w="57" w:type="dxa"/>
                  </w:tcMar>
                  <w:vAlign w:val="center"/>
                </w:tcPr>
                <w:p>
                  <w:pPr>
                    <w:pStyle w:val="56"/>
                  </w:pPr>
                  <w:r>
                    <w:rPr>
                      <w:rFonts w:hint="eastAsia"/>
                    </w:rPr>
                    <w:t>0.090</w:t>
                  </w:r>
                </w:p>
              </w:tc>
              <w:tc>
                <w:tcPr>
                  <w:tcW w:w="449" w:type="pct"/>
                  <w:tcBorders>
                    <w:top w:val="single" w:color="000000" w:sz="4" w:space="0"/>
                    <w:left w:val="single" w:color="000000" w:sz="4" w:space="0"/>
                    <w:bottom w:val="single" w:color="auto" w:sz="4" w:space="0"/>
                    <w:right w:val="single" w:color="000000" w:sz="4" w:space="0"/>
                  </w:tcBorders>
                  <w:noWrap/>
                  <w:tcMar>
                    <w:top w:w="17" w:type="dxa"/>
                    <w:left w:w="57" w:type="dxa"/>
                    <w:bottom w:w="17" w:type="dxa"/>
                    <w:right w:w="57" w:type="dxa"/>
                  </w:tcMar>
                  <w:vAlign w:val="center"/>
                </w:tcPr>
                <w:p>
                  <w:pPr>
                    <w:pStyle w:val="56"/>
                  </w:pPr>
                  <w:r>
                    <w:rPr>
                      <w:rFonts w:hint="eastAsia"/>
                    </w:rPr>
                    <w:t>0.038</w:t>
                  </w:r>
                </w:p>
              </w:tc>
              <w:tc>
                <w:tcPr>
                  <w:tcW w:w="485" w:type="pct"/>
                  <w:tcBorders>
                    <w:top w:val="single" w:color="000000" w:sz="4" w:space="0"/>
                    <w:left w:val="single" w:color="000000" w:sz="4" w:space="0"/>
                    <w:bottom w:val="single" w:color="auto" w:sz="4" w:space="0"/>
                    <w:right w:val="single" w:color="000000" w:sz="4" w:space="0"/>
                  </w:tcBorders>
                  <w:noWrap/>
                  <w:tcMar>
                    <w:top w:w="17" w:type="dxa"/>
                    <w:left w:w="57" w:type="dxa"/>
                    <w:bottom w:w="17" w:type="dxa"/>
                    <w:right w:w="57" w:type="dxa"/>
                  </w:tcMar>
                  <w:vAlign w:val="center"/>
                </w:tcPr>
                <w:p>
                  <w:pPr>
                    <w:pStyle w:val="56"/>
                  </w:pPr>
                  <w:r>
                    <w:rPr>
                      <w:rFonts w:hint="eastAsia"/>
                    </w:rPr>
                    <w:t>0.012</w:t>
                  </w:r>
                </w:p>
              </w:tc>
              <w:tc>
                <w:tcPr>
                  <w:tcW w:w="913" w:type="pct"/>
                  <w:tcBorders>
                    <w:top w:val="single" w:color="000000" w:sz="4" w:space="0"/>
                    <w:left w:val="single" w:color="000000" w:sz="4" w:space="0"/>
                    <w:bottom w:val="single" w:color="auto" w:sz="4" w:space="0"/>
                    <w:right w:val="single" w:color="000000" w:sz="4" w:space="0"/>
                  </w:tcBorders>
                  <w:noWrap/>
                  <w:tcMar>
                    <w:top w:w="17" w:type="dxa"/>
                    <w:left w:w="57" w:type="dxa"/>
                    <w:bottom w:w="17" w:type="dxa"/>
                    <w:right w:w="57" w:type="dxa"/>
                  </w:tcMar>
                  <w:vAlign w:val="center"/>
                </w:tcPr>
                <w:p>
                  <w:pPr>
                    <w:pStyle w:val="66"/>
                    <w:rPr>
                      <w:lang w:val="en-US" w:eastAsia="zh-CN"/>
                    </w:rPr>
                  </w:pPr>
                  <w:r>
                    <w:rPr>
                      <w:lang w:val="en-US" w:eastAsia="zh-CN"/>
                    </w:rPr>
                    <w:t>2.15</w:t>
                  </w:r>
                  <w:r>
                    <w:rPr>
                      <w:rFonts w:hint="eastAsia"/>
                      <w:lang w:val="en-US" w:eastAsia="zh-CN"/>
                    </w:rPr>
                    <w:t>×</w:t>
                  </w:r>
                  <w:r>
                    <w:rPr>
                      <w:lang w:val="en-US" w:eastAsia="zh-CN"/>
                    </w:rPr>
                    <w:t>10</w:t>
                  </w:r>
                  <w:r>
                    <w:rPr>
                      <w:vertAlign w:val="superscript"/>
                      <w:lang w:val="en-US" w:eastAsia="zh-CN"/>
                    </w:rPr>
                    <w:t>10</w:t>
                  </w:r>
                  <w:r>
                    <w:rPr>
                      <w:rFonts w:hint="eastAsia"/>
                      <w:lang w:val="en-US" w:eastAsia="zh-CN"/>
                    </w:rPr>
                    <w:t>个/a</w:t>
                  </w:r>
                </w:p>
              </w:tc>
            </w:tr>
            <w:tr>
              <w:tblPrEx>
                <w:tblCellMar>
                  <w:top w:w="15" w:type="dxa"/>
                  <w:left w:w="15" w:type="dxa"/>
                  <w:bottom w:w="15" w:type="dxa"/>
                  <w:right w:w="15" w:type="dxa"/>
                </w:tblCellMar>
              </w:tblPrEx>
              <w:trPr>
                <w:trHeight w:val="312" w:hRule="atLeast"/>
              </w:trPr>
              <w:tc>
                <w:tcPr>
                  <w:tcW w:w="975" w:type="pct"/>
                  <w:vMerge w:val="continue"/>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p>
              </w:tc>
              <w:tc>
                <w:tcPr>
                  <w:tcW w:w="1252" w:type="pct"/>
                  <w:tcBorders>
                    <w:top w:val="single" w:color="auto"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r>
                    <w:rPr>
                      <w:rFonts w:hint="eastAsia"/>
                    </w:rPr>
                    <w:t>去除效率（%）</w:t>
                  </w:r>
                </w:p>
              </w:tc>
              <w:tc>
                <w:tcPr>
                  <w:tcW w:w="477" w:type="pct"/>
                  <w:tcBorders>
                    <w:top w:val="single" w:color="auto"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rFonts w:hint="eastAsia"/>
                      <w:lang w:val="en-US" w:eastAsia="zh-CN"/>
                    </w:rPr>
                    <w:t>5</w:t>
                  </w:r>
                  <w:r>
                    <w:rPr>
                      <w:lang w:val="en-US" w:eastAsia="zh-CN"/>
                    </w:rPr>
                    <w:t>0</w:t>
                  </w:r>
                </w:p>
              </w:tc>
              <w:tc>
                <w:tcPr>
                  <w:tcW w:w="449" w:type="pct"/>
                  <w:tcBorders>
                    <w:top w:val="single" w:color="auto"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rFonts w:hint="eastAsia"/>
                      <w:lang w:val="en-US" w:eastAsia="zh-CN"/>
                    </w:rPr>
                    <w:t>4</w:t>
                  </w:r>
                  <w:r>
                    <w:rPr>
                      <w:lang w:val="en-US" w:eastAsia="zh-CN"/>
                    </w:rPr>
                    <w:t>0</w:t>
                  </w:r>
                </w:p>
              </w:tc>
              <w:tc>
                <w:tcPr>
                  <w:tcW w:w="449" w:type="pct"/>
                  <w:tcBorders>
                    <w:top w:val="single" w:color="auto"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lang w:val="en-US" w:eastAsia="zh-CN"/>
                    </w:rPr>
                    <w:t>70</w:t>
                  </w:r>
                </w:p>
              </w:tc>
              <w:tc>
                <w:tcPr>
                  <w:tcW w:w="485" w:type="pct"/>
                  <w:tcBorders>
                    <w:top w:val="single" w:color="auto"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rFonts w:hint="eastAsia"/>
                      <w:lang w:val="en-US" w:eastAsia="zh-CN"/>
                    </w:rPr>
                    <w:t>3</w:t>
                  </w:r>
                  <w:r>
                    <w:rPr>
                      <w:lang w:val="en-US" w:eastAsia="zh-CN"/>
                    </w:rPr>
                    <w:t>0</w:t>
                  </w:r>
                </w:p>
              </w:tc>
              <w:tc>
                <w:tcPr>
                  <w:tcW w:w="913" w:type="pct"/>
                  <w:tcBorders>
                    <w:top w:val="single" w:color="auto"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rFonts w:hint="eastAsia"/>
                      <w:lang w:val="en-US" w:eastAsia="zh-CN"/>
                    </w:rPr>
                    <w:t>9</w:t>
                  </w:r>
                  <w:r>
                    <w:rPr>
                      <w:lang w:val="en-US" w:eastAsia="zh-CN"/>
                    </w:rPr>
                    <w:t>9.9</w:t>
                  </w:r>
                </w:p>
              </w:tc>
            </w:tr>
            <w:tr>
              <w:tblPrEx>
                <w:tblCellMar>
                  <w:top w:w="15" w:type="dxa"/>
                  <w:left w:w="15" w:type="dxa"/>
                  <w:bottom w:w="15" w:type="dxa"/>
                  <w:right w:w="15" w:type="dxa"/>
                </w:tblCellMar>
              </w:tblPrEx>
              <w:trPr>
                <w:trHeight w:val="312" w:hRule="atLeast"/>
              </w:trPr>
              <w:tc>
                <w:tcPr>
                  <w:tcW w:w="975" w:type="pct"/>
                  <w:vMerge w:val="continue"/>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p>
              </w:tc>
              <w:tc>
                <w:tcPr>
                  <w:tcW w:w="1252"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r>
                    <w:t>排放浓度</w:t>
                  </w:r>
                  <w:r>
                    <w:rPr>
                      <w:rFonts w:hint="eastAsia"/>
                    </w:rPr>
                    <w:t>（</w:t>
                  </w:r>
                  <w:r>
                    <w:t>mg/L</w:t>
                  </w:r>
                  <w:r>
                    <w:rPr>
                      <w:rFonts w:hint="eastAsia"/>
                    </w:rPr>
                    <w:t>）</w:t>
                  </w:r>
                </w:p>
              </w:tc>
              <w:tc>
                <w:tcPr>
                  <w:tcW w:w="477"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56"/>
                  </w:pPr>
                  <w:r>
                    <w:rPr>
                      <w:rFonts w:hint="eastAsia"/>
                    </w:rPr>
                    <w:t>144</w:t>
                  </w:r>
                </w:p>
              </w:tc>
              <w:tc>
                <w:tcPr>
                  <w:tcW w:w="449"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56"/>
                  </w:pPr>
                  <w:r>
                    <w:rPr>
                      <w:rFonts w:hint="eastAsia"/>
                    </w:rPr>
                    <w:t>60</w:t>
                  </w:r>
                </w:p>
              </w:tc>
              <w:tc>
                <w:tcPr>
                  <w:tcW w:w="449"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56"/>
                  </w:pPr>
                  <w:r>
                    <w:rPr>
                      <w:rFonts w:hint="eastAsia"/>
                    </w:rPr>
                    <w:t>12.6</w:t>
                  </w:r>
                </w:p>
              </w:tc>
              <w:tc>
                <w:tcPr>
                  <w:tcW w:w="485"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56"/>
                  </w:pPr>
                  <w:r>
                    <w:rPr>
                      <w:rFonts w:hint="eastAsia"/>
                    </w:rPr>
                    <w:t>9.45</w:t>
                  </w:r>
                </w:p>
              </w:tc>
              <w:tc>
                <w:tcPr>
                  <w:tcW w:w="913"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56"/>
                  </w:pPr>
                  <w:r>
                    <w:t>24</w:t>
                  </w:r>
                </w:p>
              </w:tc>
            </w:tr>
            <w:tr>
              <w:trPr>
                <w:trHeight w:val="482" w:hRule="atLeast"/>
              </w:trPr>
              <w:tc>
                <w:tcPr>
                  <w:tcW w:w="975" w:type="pct"/>
                  <w:vMerge w:val="continue"/>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p>
              </w:tc>
              <w:tc>
                <w:tcPr>
                  <w:tcW w:w="1252"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pPr>
                  <w:r>
                    <w:t>排放量</w:t>
                  </w:r>
                  <w:r>
                    <w:rPr>
                      <w:rFonts w:hint="eastAsia"/>
                    </w:rPr>
                    <w:t>（</w:t>
                  </w:r>
                  <w:r>
                    <w:t>t/a）</w:t>
                  </w:r>
                </w:p>
              </w:tc>
              <w:tc>
                <w:tcPr>
                  <w:tcW w:w="477"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56"/>
                  </w:pPr>
                  <w:r>
                    <w:rPr>
                      <w:rFonts w:hint="eastAsia"/>
                    </w:rPr>
                    <w:t>0.129</w:t>
                  </w:r>
                </w:p>
              </w:tc>
              <w:tc>
                <w:tcPr>
                  <w:tcW w:w="449"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56"/>
                  </w:pPr>
                  <w:r>
                    <w:rPr>
                      <w:rFonts w:hint="eastAsia"/>
                    </w:rPr>
                    <w:t>0.054</w:t>
                  </w:r>
                </w:p>
              </w:tc>
              <w:tc>
                <w:tcPr>
                  <w:tcW w:w="449"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56"/>
                  </w:pPr>
                  <w:r>
                    <w:rPr>
                      <w:rFonts w:hint="eastAsia"/>
                    </w:rPr>
                    <w:t>0.011</w:t>
                  </w:r>
                </w:p>
              </w:tc>
              <w:tc>
                <w:tcPr>
                  <w:tcW w:w="485"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56"/>
                  </w:pPr>
                  <w:r>
                    <w:rPr>
                      <w:rFonts w:hint="eastAsia"/>
                    </w:rPr>
                    <w:t>0.008</w:t>
                  </w:r>
                </w:p>
              </w:tc>
              <w:tc>
                <w:tcPr>
                  <w:tcW w:w="913" w:type="pct"/>
                  <w:tcBorders>
                    <w:top w:val="single" w:color="000000" w:sz="4" w:space="0"/>
                    <w:left w:val="single" w:color="000000" w:sz="4" w:space="0"/>
                    <w:bottom w:val="single" w:color="000000" w:sz="4" w:space="0"/>
                    <w:right w:val="single" w:color="000000" w:sz="4" w:space="0"/>
                  </w:tcBorders>
                  <w:noWrap/>
                  <w:tcMar>
                    <w:top w:w="17" w:type="dxa"/>
                    <w:left w:w="57" w:type="dxa"/>
                    <w:bottom w:w="17" w:type="dxa"/>
                    <w:right w:w="57" w:type="dxa"/>
                  </w:tcMar>
                  <w:vAlign w:val="center"/>
                </w:tcPr>
                <w:p>
                  <w:pPr>
                    <w:pStyle w:val="66"/>
                    <w:rPr>
                      <w:lang w:val="en-US" w:eastAsia="zh-CN"/>
                    </w:rPr>
                  </w:pPr>
                  <w:r>
                    <w:rPr>
                      <w:rFonts w:hint="eastAsia"/>
                      <w:lang w:val="en-US" w:eastAsia="zh-CN"/>
                    </w:rPr>
                    <w:t>2</w:t>
                  </w:r>
                  <w:r>
                    <w:rPr>
                      <w:lang w:val="en-US" w:eastAsia="zh-CN"/>
                    </w:rPr>
                    <w:t>.14</w:t>
                  </w:r>
                  <w:r>
                    <w:rPr>
                      <w:rFonts w:hint="eastAsia"/>
                      <w:lang w:val="en-US" w:eastAsia="zh-CN"/>
                    </w:rPr>
                    <w:t>×</w:t>
                  </w:r>
                  <w:r>
                    <w:rPr>
                      <w:lang w:val="en-US" w:eastAsia="zh-CN"/>
                    </w:rPr>
                    <w:t>10</w:t>
                  </w:r>
                  <w:r>
                    <w:rPr>
                      <w:vertAlign w:val="superscript"/>
                      <w:lang w:val="en-US" w:eastAsia="zh-CN"/>
                    </w:rPr>
                    <w:t>7</w:t>
                  </w:r>
                  <w:r>
                    <w:rPr>
                      <w:rFonts w:hint="eastAsia"/>
                      <w:lang w:val="en-US" w:eastAsia="zh-CN"/>
                    </w:rPr>
                    <w:t>个/a</w:t>
                  </w:r>
                </w:p>
              </w:tc>
            </w:tr>
          </w:tbl>
          <w:p>
            <w:pPr>
              <w:pStyle w:val="5"/>
            </w:pPr>
            <w:r>
              <w:rPr>
                <w:rFonts w:hint="eastAsia"/>
              </w:rPr>
              <w:t>废水处理措施可行性分析</w:t>
            </w:r>
          </w:p>
          <w:p>
            <w:pPr>
              <w:ind w:firstLine="480"/>
            </w:pPr>
            <w:r>
              <w:rPr>
                <w:rFonts w:hint="eastAsia"/>
                <w:lang w:val="zh-CN"/>
              </w:rPr>
              <w:t>项目废水主要包括生活废水及实验废水，项目废水年产生量为</w:t>
            </w:r>
            <w:r>
              <w:rPr>
                <w:lang w:val="zh-CN"/>
              </w:rPr>
              <w:t>895.079</w:t>
            </w:r>
            <w:r>
              <w:rPr>
                <w:rFonts w:hint="eastAsia"/>
                <w:lang w:val="zh-CN"/>
              </w:rPr>
              <w:t>t/a（2</w:t>
            </w:r>
            <w:r>
              <w:rPr>
                <w:lang w:val="zh-CN"/>
              </w:rPr>
              <w:t>.45</w:t>
            </w:r>
            <w:r>
              <w:rPr>
                <w:rFonts w:hint="eastAsia"/>
                <w:lang w:val="zh-CN"/>
              </w:rPr>
              <w:t>t/d）。根据企业提供资料，项目废水处理通过企业自建的污水处理站，其处理能力为5t/d，废水处理工艺为“一体化污水处理设备（化学混凝处理法）+臭氧消毒”，废水经处理达</w:t>
            </w:r>
            <w:r>
              <w:rPr>
                <w:rFonts w:hint="eastAsia"/>
              </w:rPr>
              <w:t>《医疗机构水污染物排放标准》（GB18466-2005）表2预处理标准及</w:t>
            </w:r>
            <w:r>
              <w:rPr>
                <w:rFonts w:hint="eastAsia"/>
                <w:lang w:val="zh-CN"/>
              </w:rPr>
              <w:t>茂名高新技术产业开发区污水处理厂</w:t>
            </w:r>
            <w:r>
              <w:rPr>
                <w:rFonts w:hint="eastAsia"/>
              </w:rPr>
              <w:t>进水指标较严值后，通过园区管网排至</w:t>
            </w:r>
            <w:r>
              <w:rPr>
                <w:rFonts w:hint="eastAsia"/>
                <w:lang w:val="zh-CN"/>
              </w:rPr>
              <w:t>茂名高新技术产业开发区污水处理厂进行深度处理后达标排放，</w:t>
            </w:r>
            <w:r>
              <w:t>因此，</w:t>
            </w:r>
            <w:r>
              <w:rPr>
                <w:rFonts w:hint="eastAsia"/>
              </w:rPr>
              <w:t>项目自建</w:t>
            </w:r>
            <w:r>
              <w:t>的污水处理站的处理能力能满足本项目废水处理要求。</w:t>
            </w:r>
          </w:p>
          <w:p>
            <w:pPr>
              <w:ind w:firstLine="480"/>
              <w:rPr>
                <w:lang w:val="zh-CN"/>
              </w:rPr>
            </w:pPr>
            <w:r>
              <w:rPr>
                <w:rFonts w:hint="eastAsia"/>
                <w:lang w:val="zh-CN"/>
              </w:rPr>
              <w:t>项目自建的污水处理站的处理工艺流程见下图：</w:t>
            </w:r>
          </w:p>
          <w:p>
            <w:pPr>
              <w:pStyle w:val="56"/>
              <w:keepNext/>
            </w:pPr>
            <w:r>
              <w:drawing>
                <wp:inline distT="0" distB="0" distL="0" distR="0">
                  <wp:extent cx="4493260" cy="28625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cstate="email"/>
                          <a:stretch>
                            <a:fillRect/>
                          </a:stretch>
                        </pic:blipFill>
                        <pic:spPr>
                          <a:xfrm>
                            <a:off x="0" y="0"/>
                            <a:ext cx="4528689" cy="2885363"/>
                          </a:xfrm>
                          <a:prstGeom prst="rect">
                            <a:avLst/>
                          </a:prstGeom>
                        </pic:spPr>
                      </pic:pic>
                    </a:graphicData>
                  </a:graphic>
                </wp:inline>
              </w:drawing>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废水</w:t>
            </w:r>
            <w:r>
              <w:rPr>
                <w:rFonts w:hint="eastAsia"/>
                <w:lang w:eastAsia="zh-CN"/>
              </w:rPr>
              <w:t>设施</w:t>
            </w:r>
            <w:r>
              <w:rPr>
                <w:rFonts w:hint="eastAsia"/>
              </w:rPr>
              <w:t>处理工艺</w:t>
            </w:r>
          </w:p>
          <w:p>
            <w:pPr>
              <w:ind w:firstLine="480"/>
              <w:rPr>
                <w:lang w:val="zh-CN"/>
              </w:rPr>
            </w:pPr>
            <w:r>
              <w:rPr>
                <w:rFonts w:hint="eastAsia"/>
                <w:lang w:val="zh-CN"/>
              </w:rPr>
              <w:t>工艺流程简述：</w:t>
            </w:r>
          </w:p>
          <w:p>
            <w:pPr>
              <w:ind w:firstLine="480"/>
              <w:rPr>
                <w:lang w:val="zh-CN"/>
              </w:rPr>
            </w:pPr>
            <w:r>
              <w:rPr>
                <w:rFonts w:hint="eastAsia"/>
                <w:lang w:val="zh-CN"/>
              </w:rPr>
              <w:t>项目废水通过废水管道统一收集后，通过抽吸泵将污水抽吸后泵入集水箱，污水在集水箱箱内进行沉淀后，在通过臭氧发生器对集水箱内污水进行消毒处理，经沉淀、消毒后的废水最终汇入进行茂名高新技术产业开发区污水处理厂进行深度处理。</w:t>
            </w:r>
          </w:p>
          <w:p>
            <w:pPr>
              <w:ind w:firstLine="480"/>
              <w:rPr>
                <w:lang w:val="zh-CN"/>
              </w:rPr>
            </w:pPr>
            <w:r>
              <w:rPr>
                <w:rFonts w:hint="eastAsia"/>
                <w:lang w:val="zh-CN"/>
              </w:rPr>
              <w:t>根据《医院污水处理工程技术规范》（HJ2029-2013）6.1.3，“非传染病医院污水，若处理出水直接或间接排入地表水体或海域时，应采用二级处理+消毒工艺或二级处理+深度处理+消毒工艺；若处理出水排入终端已建有正常运行的二级污水处理厂的城市污水管网时，可采用一级强化处理+消毒工艺”。本项目废水通过企业自建污水处理站处理达标后排放至茂名高新技术产业开发区污水处理厂进行深度处理，因此，采用“化学混凝处理法+臭氧消毒”处理工艺，符合一级强化处理+消毒工艺要求。</w:t>
            </w:r>
          </w:p>
          <w:p>
            <w:pPr>
              <w:pStyle w:val="5"/>
            </w:pPr>
            <w:r>
              <w:rPr>
                <w:rFonts w:hint="eastAsia"/>
              </w:rPr>
              <w:t>废水污染源强核算结果汇总</w:t>
            </w:r>
          </w:p>
          <w:p>
            <w:pPr>
              <w:ind w:firstLine="480"/>
            </w:pPr>
            <w:r>
              <w:rPr>
                <w:rFonts w:hint="eastAsia"/>
              </w:rPr>
              <w:t>根据《污染源源强核算技术指南 准则》（HJ884-2018），本项目废水污染源源强核算结果详见下表。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项目废水污染源强核算结果</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732"/>
              <w:gridCol w:w="1109"/>
              <w:gridCol w:w="1414"/>
              <w:gridCol w:w="1035"/>
              <w:gridCol w:w="916"/>
              <w:gridCol w:w="862"/>
              <w:gridCol w:w="862"/>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303" w:type="pct"/>
                  <w:vAlign w:val="center"/>
                </w:tcPr>
                <w:p>
                  <w:pPr>
                    <w:pStyle w:val="56"/>
                  </w:pPr>
                  <w:r>
                    <w:t>建设情况</w:t>
                  </w:r>
                </w:p>
              </w:tc>
              <w:tc>
                <w:tcPr>
                  <w:tcW w:w="413" w:type="pct"/>
                  <w:vAlign w:val="center"/>
                </w:tcPr>
                <w:p>
                  <w:pPr>
                    <w:pStyle w:val="56"/>
                  </w:pPr>
                  <w:r>
                    <w:t>污水</w:t>
                  </w:r>
                </w:p>
              </w:tc>
              <w:tc>
                <w:tcPr>
                  <w:tcW w:w="480" w:type="pct"/>
                  <w:vAlign w:val="center"/>
                </w:tcPr>
                <w:p>
                  <w:pPr>
                    <w:pStyle w:val="56"/>
                  </w:pPr>
                  <w:r>
                    <w:t>污水量</w:t>
                  </w:r>
                </w:p>
              </w:tc>
              <w:tc>
                <w:tcPr>
                  <w:tcW w:w="784" w:type="pct"/>
                  <w:vAlign w:val="center"/>
                </w:tcPr>
                <w:p>
                  <w:pPr>
                    <w:pStyle w:val="56"/>
                  </w:pPr>
                  <w:r>
                    <w:t>项目</w:t>
                  </w:r>
                </w:p>
              </w:tc>
              <w:tc>
                <w:tcPr>
                  <w:tcW w:w="578" w:type="pct"/>
                  <w:vAlign w:val="center"/>
                </w:tcPr>
                <w:p>
                  <w:pPr>
                    <w:pStyle w:val="56"/>
                  </w:pPr>
                  <w:r>
                    <w:t>CODc</w:t>
                  </w:r>
                  <w:r>
                    <w:rPr>
                      <w:rFonts w:hint="eastAsia"/>
                    </w:rPr>
                    <w:t>r</w:t>
                  </w:r>
                </w:p>
              </w:tc>
              <w:tc>
                <w:tcPr>
                  <w:tcW w:w="513" w:type="pct"/>
                  <w:vAlign w:val="center"/>
                </w:tcPr>
                <w:p>
                  <w:pPr>
                    <w:pStyle w:val="56"/>
                  </w:pPr>
                  <w:r>
                    <w:rPr>
                      <w:rFonts w:hint="eastAsia"/>
                    </w:rPr>
                    <w:t>B</w:t>
                  </w:r>
                  <w:r>
                    <w:t>OD</w:t>
                  </w:r>
                  <w:r>
                    <w:rPr>
                      <w:vertAlign w:val="subscript"/>
                    </w:rPr>
                    <w:t>5</w:t>
                  </w:r>
                </w:p>
              </w:tc>
              <w:tc>
                <w:tcPr>
                  <w:tcW w:w="484" w:type="pct"/>
                  <w:vAlign w:val="center"/>
                </w:tcPr>
                <w:p>
                  <w:pPr>
                    <w:pStyle w:val="56"/>
                  </w:pPr>
                  <w:r>
                    <w:t>SS</w:t>
                  </w:r>
                </w:p>
              </w:tc>
              <w:tc>
                <w:tcPr>
                  <w:tcW w:w="484" w:type="pct"/>
                  <w:vAlign w:val="center"/>
                </w:tcPr>
                <w:p>
                  <w:pPr>
                    <w:pStyle w:val="56"/>
                  </w:pPr>
                  <w:r>
                    <w:t>氨氮</w:t>
                  </w:r>
                </w:p>
              </w:tc>
              <w:tc>
                <w:tcPr>
                  <w:tcW w:w="962" w:type="pct"/>
                  <w:vAlign w:val="center"/>
                </w:tcPr>
                <w:p>
                  <w:pPr>
                    <w:pStyle w:val="56"/>
                  </w:pPr>
                  <w:r>
                    <w:rPr>
                      <w:rFonts w:hint="eastAsia"/>
                    </w:rPr>
                    <w:t>粪大肠</w:t>
                  </w:r>
                  <w:r>
                    <w:rPr>
                      <w:rFonts w:hint="eastAsia"/>
                      <w:lang w:eastAsia="zh-CN"/>
                    </w:rPr>
                    <w:t>杆菌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3" w:type="pct"/>
                  <w:vMerge w:val="restart"/>
                  <w:vAlign w:val="center"/>
                </w:tcPr>
                <w:p>
                  <w:pPr>
                    <w:pStyle w:val="56"/>
                  </w:pPr>
                  <w:r>
                    <w:t>项目总体建成后</w:t>
                  </w:r>
                </w:p>
              </w:tc>
              <w:tc>
                <w:tcPr>
                  <w:tcW w:w="413" w:type="pct"/>
                  <w:vMerge w:val="restart"/>
                  <w:vAlign w:val="center"/>
                </w:tcPr>
                <w:p>
                  <w:pPr>
                    <w:pStyle w:val="56"/>
                    <w:rPr>
                      <w:lang w:eastAsia="zh-CN"/>
                    </w:rPr>
                  </w:pPr>
                  <w:r>
                    <w:rPr>
                      <w:rFonts w:hint="eastAsia"/>
                      <w:lang w:eastAsia="zh-CN"/>
                    </w:rPr>
                    <w:t>项目废水</w:t>
                  </w:r>
                </w:p>
              </w:tc>
              <w:tc>
                <w:tcPr>
                  <w:tcW w:w="480" w:type="pct"/>
                  <w:vMerge w:val="restart"/>
                  <w:vAlign w:val="center"/>
                </w:tcPr>
                <w:p>
                  <w:pPr>
                    <w:pStyle w:val="56"/>
                  </w:pPr>
                  <w:r>
                    <w:t>895.079</w:t>
                  </w:r>
                  <w:r>
                    <w:rPr>
                      <w:rFonts w:hint="eastAsia"/>
                    </w:rPr>
                    <w:t>t/a</w:t>
                  </w:r>
                </w:p>
              </w:tc>
              <w:tc>
                <w:tcPr>
                  <w:tcW w:w="784" w:type="pct"/>
                  <w:vAlign w:val="center"/>
                </w:tcPr>
                <w:p>
                  <w:pPr>
                    <w:pStyle w:val="66"/>
                  </w:pPr>
                  <w:r>
                    <w:t>产生浓度</w:t>
                  </w:r>
                  <w:r>
                    <w:rPr>
                      <w:rFonts w:hint="eastAsia"/>
                      <w:lang w:eastAsia="zh-CN"/>
                    </w:rPr>
                    <w:t>(</w:t>
                  </w:r>
                  <w:r>
                    <w:t>mg/L)</w:t>
                  </w:r>
                </w:p>
              </w:tc>
              <w:tc>
                <w:tcPr>
                  <w:tcW w:w="578" w:type="pct"/>
                  <w:vAlign w:val="center"/>
                </w:tcPr>
                <w:p>
                  <w:pPr>
                    <w:pStyle w:val="66"/>
                    <w:rPr>
                      <w:lang w:val="en-US" w:eastAsia="zh-CN"/>
                    </w:rPr>
                  </w:pPr>
                  <w:r>
                    <w:rPr>
                      <w:lang w:val="en-US" w:eastAsia="zh-CN"/>
                    </w:rPr>
                    <w:t>288</w:t>
                  </w:r>
                </w:p>
              </w:tc>
              <w:tc>
                <w:tcPr>
                  <w:tcW w:w="513" w:type="pct"/>
                  <w:vAlign w:val="center"/>
                </w:tcPr>
                <w:p>
                  <w:pPr>
                    <w:pStyle w:val="66"/>
                    <w:rPr>
                      <w:lang w:val="en-US" w:eastAsia="zh-CN"/>
                    </w:rPr>
                  </w:pPr>
                  <w:r>
                    <w:rPr>
                      <w:lang w:val="en-US" w:eastAsia="zh-CN"/>
                    </w:rPr>
                    <w:t>100</w:t>
                  </w:r>
                </w:p>
              </w:tc>
              <w:tc>
                <w:tcPr>
                  <w:tcW w:w="484" w:type="pct"/>
                  <w:vAlign w:val="center"/>
                </w:tcPr>
                <w:p>
                  <w:pPr>
                    <w:pStyle w:val="66"/>
                    <w:rPr>
                      <w:lang w:val="en-US" w:eastAsia="zh-CN"/>
                    </w:rPr>
                  </w:pPr>
                  <w:r>
                    <w:rPr>
                      <w:lang w:val="en-US" w:eastAsia="zh-CN"/>
                    </w:rPr>
                    <w:t>42</w:t>
                  </w:r>
                </w:p>
              </w:tc>
              <w:tc>
                <w:tcPr>
                  <w:tcW w:w="484" w:type="pct"/>
                  <w:vAlign w:val="center"/>
                </w:tcPr>
                <w:p>
                  <w:pPr>
                    <w:pStyle w:val="66"/>
                    <w:rPr>
                      <w:lang w:val="en-US" w:eastAsia="zh-CN"/>
                    </w:rPr>
                  </w:pPr>
                  <w:r>
                    <w:rPr>
                      <w:lang w:val="en-US" w:eastAsia="zh-CN"/>
                    </w:rPr>
                    <w:t>13.5</w:t>
                  </w:r>
                </w:p>
              </w:tc>
              <w:tc>
                <w:tcPr>
                  <w:tcW w:w="962" w:type="pct"/>
                  <w:vAlign w:val="center"/>
                </w:tcPr>
                <w:p>
                  <w:pPr>
                    <w:pStyle w:val="66"/>
                    <w:rPr>
                      <w:lang w:val="en-US" w:eastAsia="zh-CN"/>
                    </w:rPr>
                  </w:pPr>
                  <w:r>
                    <w:rPr>
                      <w:lang w:val="en-US" w:eastAsia="zh-CN"/>
                    </w:rPr>
                    <w:t>24000MPN/L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03" w:type="pct"/>
                  <w:vMerge w:val="continue"/>
                  <w:vAlign w:val="center"/>
                </w:tcPr>
                <w:p>
                  <w:pPr>
                    <w:pStyle w:val="56"/>
                  </w:pPr>
                </w:p>
              </w:tc>
              <w:tc>
                <w:tcPr>
                  <w:tcW w:w="413" w:type="pct"/>
                  <w:vMerge w:val="continue"/>
                  <w:vAlign w:val="center"/>
                </w:tcPr>
                <w:p>
                  <w:pPr>
                    <w:pStyle w:val="56"/>
                  </w:pPr>
                </w:p>
              </w:tc>
              <w:tc>
                <w:tcPr>
                  <w:tcW w:w="480" w:type="pct"/>
                  <w:vMerge w:val="continue"/>
                  <w:vAlign w:val="center"/>
                </w:tcPr>
                <w:p>
                  <w:pPr>
                    <w:pStyle w:val="56"/>
                  </w:pPr>
                </w:p>
              </w:tc>
              <w:tc>
                <w:tcPr>
                  <w:tcW w:w="784" w:type="pct"/>
                  <w:vAlign w:val="center"/>
                </w:tcPr>
                <w:p>
                  <w:pPr>
                    <w:pStyle w:val="66"/>
                  </w:pPr>
                  <w:r>
                    <w:t>产生量（t</w:t>
                  </w:r>
                  <w:r>
                    <w:rPr>
                      <w:rFonts w:hint="eastAsia"/>
                    </w:rPr>
                    <w:t>/</w:t>
                  </w:r>
                  <w:r>
                    <w:t>a</w:t>
                  </w:r>
                  <w:r>
                    <w:rPr>
                      <w:rFonts w:hint="eastAsia"/>
                    </w:rPr>
                    <w:t>）</w:t>
                  </w:r>
                </w:p>
              </w:tc>
              <w:tc>
                <w:tcPr>
                  <w:tcW w:w="578" w:type="pct"/>
                  <w:vAlign w:val="center"/>
                </w:tcPr>
                <w:p>
                  <w:pPr>
                    <w:pStyle w:val="66"/>
                    <w:rPr>
                      <w:lang w:eastAsia="zh-CN"/>
                    </w:rPr>
                  </w:pPr>
                  <w:r>
                    <w:rPr>
                      <w:rFonts w:hint="eastAsia"/>
                    </w:rPr>
                    <w:t>0.258</w:t>
                  </w:r>
                </w:p>
              </w:tc>
              <w:tc>
                <w:tcPr>
                  <w:tcW w:w="513" w:type="pct"/>
                  <w:vAlign w:val="center"/>
                </w:tcPr>
                <w:p>
                  <w:pPr>
                    <w:pStyle w:val="66"/>
                    <w:rPr>
                      <w:lang w:eastAsia="zh-CN"/>
                    </w:rPr>
                  </w:pPr>
                  <w:r>
                    <w:rPr>
                      <w:rFonts w:hint="eastAsia"/>
                    </w:rPr>
                    <w:t>0.090</w:t>
                  </w:r>
                </w:p>
              </w:tc>
              <w:tc>
                <w:tcPr>
                  <w:tcW w:w="484" w:type="pct"/>
                  <w:vAlign w:val="center"/>
                </w:tcPr>
                <w:p>
                  <w:pPr>
                    <w:pStyle w:val="66"/>
                    <w:rPr>
                      <w:lang w:eastAsia="zh-CN"/>
                    </w:rPr>
                  </w:pPr>
                  <w:r>
                    <w:rPr>
                      <w:rFonts w:hint="eastAsia"/>
                    </w:rPr>
                    <w:t>0.038</w:t>
                  </w:r>
                </w:p>
              </w:tc>
              <w:tc>
                <w:tcPr>
                  <w:tcW w:w="484" w:type="pct"/>
                  <w:vAlign w:val="center"/>
                </w:tcPr>
                <w:p>
                  <w:pPr>
                    <w:pStyle w:val="66"/>
                    <w:rPr>
                      <w:lang w:eastAsia="zh-CN"/>
                    </w:rPr>
                  </w:pPr>
                  <w:r>
                    <w:rPr>
                      <w:rFonts w:hint="eastAsia"/>
                    </w:rPr>
                    <w:t>0.012</w:t>
                  </w:r>
                </w:p>
              </w:tc>
              <w:tc>
                <w:tcPr>
                  <w:tcW w:w="962" w:type="pct"/>
                  <w:vAlign w:val="center"/>
                </w:tcPr>
                <w:p>
                  <w:pPr>
                    <w:pStyle w:val="66"/>
                    <w:rPr>
                      <w:lang w:val="en-US" w:eastAsia="zh-CN"/>
                    </w:rPr>
                  </w:pPr>
                  <w:r>
                    <w:rPr>
                      <w:lang w:val="en-US" w:eastAsia="zh-CN"/>
                    </w:rPr>
                    <w:t>2.15</w:t>
                  </w:r>
                  <w:r>
                    <w:rPr>
                      <w:rFonts w:hint="eastAsia"/>
                      <w:lang w:val="en-US" w:eastAsia="zh-CN"/>
                    </w:rPr>
                    <w:t>×</w:t>
                  </w:r>
                  <w:r>
                    <w:rPr>
                      <w:lang w:val="en-US" w:eastAsia="zh-CN"/>
                    </w:rPr>
                    <w:t>10</w:t>
                  </w:r>
                  <w:r>
                    <w:rPr>
                      <w:vertAlign w:val="superscript"/>
                      <w:lang w:val="en-US" w:eastAsia="zh-CN"/>
                    </w:rPr>
                    <w:t>10</w:t>
                  </w:r>
                  <w:r>
                    <w:rPr>
                      <w:rFonts w:hint="eastAsia"/>
                      <w:lang w:val="en-US" w:eastAsia="zh-CN"/>
                    </w:rPr>
                    <w:t>个/a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03" w:type="pct"/>
                  <w:vMerge w:val="continue"/>
                  <w:vAlign w:val="center"/>
                </w:tcPr>
                <w:p>
                  <w:pPr>
                    <w:pStyle w:val="56"/>
                  </w:pPr>
                </w:p>
              </w:tc>
              <w:tc>
                <w:tcPr>
                  <w:tcW w:w="413" w:type="pct"/>
                  <w:vMerge w:val="continue"/>
                  <w:vAlign w:val="center"/>
                </w:tcPr>
                <w:p>
                  <w:pPr>
                    <w:pStyle w:val="56"/>
                  </w:pPr>
                </w:p>
              </w:tc>
              <w:tc>
                <w:tcPr>
                  <w:tcW w:w="480" w:type="pct"/>
                  <w:vMerge w:val="continue"/>
                  <w:vAlign w:val="center"/>
                </w:tcPr>
                <w:p>
                  <w:pPr>
                    <w:pStyle w:val="56"/>
                  </w:pPr>
                </w:p>
              </w:tc>
              <w:tc>
                <w:tcPr>
                  <w:tcW w:w="784" w:type="pct"/>
                  <w:vAlign w:val="center"/>
                </w:tcPr>
                <w:p>
                  <w:pPr>
                    <w:pStyle w:val="66"/>
                  </w:pPr>
                  <w:r>
                    <w:rPr>
                      <w:rFonts w:hint="eastAsia"/>
                      <w:lang w:eastAsia="zh-CN"/>
                    </w:rPr>
                    <w:t>排放浓度(</w:t>
                  </w:r>
                  <w:r>
                    <w:t>mg/L)</w:t>
                  </w:r>
                </w:p>
              </w:tc>
              <w:tc>
                <w:tcPr>
                  <w:tcW w:w="578" w:type="pct"/>
                  <w:vAlign w:val="center"/>
                </w:tcPr>
                <w:p>
                  <w:pPr>
                    <w:pStyle w:val="56"/>
                    <w:rPr>
                      <w:kern w:val="0"/>
                    </w:rPr>
                  </w:pPr>
                  <w:r>
                    <w:rPr>
                      <w:rFonts w:hint="eastAsia"/>
                    </w:rPr>
                    <w:t>144</w:t>
                  </w:r>
                </w:p>
              </w:tc>
              <w:tc>
                <w:tcPr>
                  <w:tcW w:w="513" w:type="pct"/>
                  <w:vAlign w:val="center"/>
                </w:tcPr>
                <w:p>
                  <w:pPr>
                    <w:pStyle w:val="56"/>
                  </w:pPr>
                  <w:r>
                    <w:rPr>
                      <w:rFonts w:hint="eastAsia"/>
                    </w:rPr>
                    <w:t>60</w:t>
                  </w:r>
                </w:p>
              </w:tc>
              <w:tc>
                <w:tcPr>
                  <w:tcW w:w="484" w:type="pct"/>
                  <w:vAlign w:val="center"/>
                </w:tcPr>
                <w:p>
                  <w:pPr>
                    <w:pStyle w:val="56"/>
                  </w:pPr>
                  <w:r>
                    <w:rPr>
                      <w:rFonts w:hint="eastAsia"/>
                    </w:rPr>
                    <w:t>12.6</w:t>
                  </w:r>
                </w:p>
              </w:tc>
              <w:tc>
                <w:tcPr>
                  <w:tcW w:w="484" w:type="pct"/>
                  <w:vAlign w:val="center"/>
                </w:tcPr>
                <w:p>
                  <w:pPr>
                    <w:pStyle w:val="56"/>
                  </w:pPr>
                  <w:r>
                    <w:rPr>
                      <w:rFonts w:hint="eastAsia"/>
                    </w:rPr>
                    <w:t>9.45</w:t>
                  </w:r>
                </w:p>
              </w:tc>
              <w:tc>
                <w:tcPr>
                  <w:tcW w:w="962" w:type="pct"/>
                  <w:vAlign w:val="center"/>
                </w:tcPr>
                <w:p>
                  <w:pPr>
                    <w:pStyle w:val="56"/>
                  </w:pPr>
                  <w:r>
                    <w:t>24</w:t>
                  </w:r>
                  <w:r>
                    <w:rPr>
                      <w:lang w:val="en-US" w:eastAsia="zh-CN"/>
                    </w:rPr>
                    <w:t xml:space="preserve"> 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03" w:type="pct"/>
                  <w:vMerge w:val="continue"/>
                  <w:vAlign w:val="center"/>
                </w:tcPr>
                <w:p>
                  <w:pPr>
                    <w:pStyle w:val="56"/>
                  </w:pPr>
                </w:p>
              </w:tc>
              <w:tc>
                <w:tcPr>
                  <w:tcW w:w="413" w:type="pct"/>
                  <w:vMerge w:val="continue"/>
                  <w:vAlign w:val="center"/>
                </w:tcPr>
                <w:p>
                  <w:pPr>
                    <w:pStyle w:val="56"/>
                  </w:pPr>
                </w:p>
              </w:tc>
              <w:tc>
                <w:tcPr>
                  <w:tcW w:w="480" w:type="pct"/>
                  <w:vMerge w:val="continue"/>
                  <w:vAlign w:val="center"/>
                </w:tcPr>
                <w:p>
                  <w:pPr>
                    <w:pStyle w:val="56"/>
                  </w:pPr>
                </w:p>
              </w:tc>
              <w:tc>
                <w:tcPr>
                  <w:tcW w:w="784" w:type="pct"/>
                  <w:vAlign w:val="center"/>
                </w:tcPr>
                <w:p>
                  <w:pPr>
                    <w:pStyle w:val="66"/>
                  </w:pPr>
                  <w:r>
                    <w:rPr>
                      <w:rFonts w:hint="eastAsia"/>
                      <w:lang w:eastAsia="zh-CN"/>
                    </w:rPr>
                    <w:t>排放</w:t>
                  </w:r>
                  <w:r>
                    <w:t>量（t</w:t>
                  </w:r>
                  <w:r>
                    <w:rPr>
                      <w:rFonts w:hint="eastAsia"/>
                    </w:rPr>
                    <w:t>/</w:t>
                  </w:r>
                  <w:r>
                    <w:t>a</w:t>
                  </w:r>
                  <w:r>
                    <w:rPr>
                      <w:rFonts w:hint="eastAsia"/>
                    </w:rPr>
                    <w:t>）</w:t>
                  </w:r>
                </w:p>
              </w:tc>
              <w:tc>
                <w:tcPr>
                  <w:tcW w:w="578" w:type="pct"/>
                  <w:vAlign w:val="center"/>
                </w:tcPr>
                <w:p>
                  <w:pPr>
                    <w:pStyle w:val="66"/>
                    <w:rPr>
                      <w:lang w:eastAsia="zh-CN"/>
                    </w:rPr>
                  </w:pPr>
                  <w:r>
                    <w:rPr>
                      <w:rFonts w:hint="eastAsia"/>
                    </w:rPr>
                    <w:t>0.129</w:t>
                  </w:r>
                </w:p>
              </w:tc>
              <w:tc>
                <w:tcPr>
                  <w:tcW w:w="513" w:type="pct"/>
                  <w:vAlign w:val="center"/>
                </w:tcPr>
                <w:p>
                  <w:pPr>
                    <w:pStyle w:val="66"/>
                    <w:rPr>
                      <w:lang w:eastAsia="zh-CN"/>
                    </w:rPr>
                  </w:pPr>
                  <w:r>
                    <w:rPr>
                      <w:rFonts w:hint="eastAsia"/>
                    </w:rPr>
                    <w:t>0.054</w:t>
                  </w:r>
                </w:p>
              </w:tc>
              <w:tc>
                <w:tcPr>
                  <w:tcW w:w="484" w:type="pct"/>
                  <w:vAlign w:val="center"/>
                </w:tcPr>
                <w:p>
                  <w:pPr>
                    <w:pStyle w:val="66"/>
                    <w:rPr>
                      <w:lang w:eastAsia="zh-CN"/>
                    </w:rPr>
                  </w:pPr>
                  <w:r>
                    <w:rPr>
                      <w:rFonts w:hint="eastAsia"/>
                    </w:rPr>
                    <w:t>0.011</w:t>
                  </w:r>
                </w:p>
              </w:tc>
              <w:tc>
                <w:tcPr>
                  <w:tcW w:w="484" w:type="pct"/>
                  <w:vAlign w:val="center"/>
                </w:tcPr>
                <w:p>
                  <w:pPr>
                    <w:pStyle w:val="66"/>
                    <w:rPr>
                      <w:lang w:eastAsia="zh-CN"/>
                    </w:rPr>
                  </w:pPr>
                  <w:r>
                    <w:rPr>
                      <w:rFonts w:hint="eastAsia"/>
                    </w:rPr>
                    <w:t>0.008</w:t>
                  </w:r>
                </w:p>
              </w:tc>
              <w:tc>
                <w:tcPr>
                  <w:tcW w:w="962" w:type="pct"/>
                  <w:vAlign w:val="center"/>
                </w:tcPr>
                <w:p>
                  <w:pPr>
                    <w:pStyle w:val="66"/>
                    <w:rPr>
                      <w:lang w:val="en-US" w:eastAsia="zh-CN"/>
                    </w:rPr>
                  </w:pPr>
                  <w:r>
                    <w:rPr>
                      <w:rFonts w:hint="eastAsia"/>
                      <w:lang w:val="en-US" w:eastAsia="zh-CN"/>
                    </w:rPr>
                    <w:t>2</w:t>
                  </w:r>
                  <w:r>
                    <w:rPr>
                      <w:lang w:val="en-US" w:eastAsia="zh-CN"/>
                    </w:rPr>
                    <w:t>.14</w:t>
                  </w:r>
                  <w:r>
                    <w:rPr>
                      <w:rFonts w:hint="eastAsia"/>
                      <w:lang w:val="en-US" w:eastAsia="zh-CN"/>
                    </w:rPr>
                    <w:t>×</w:t>
                  </w:r>
                  <w:r>
                    <w:rPr>
                      <w:lang w:val="en-US" w:eastAsia="zh-CN"/>
                    </w:rPr>
                    <w:t>10</w:t>
                  </w:r>
                  <w:r>
                    <w:rPr>
                      <w:vertAlign w:val="superscript"/>
                      <w:lang w:val="en-US" w:eastAsia="zh-CN"/>
                    </w:rPr>
                    <w:t>7</w:t>
                  </w:r>
                  <w:r>
                    <w:rPr>
                      <w:rFonts w:hint="eastAsia"/>
                      <w:lang w:val="en-US" w:eastAsia="zh-CN"/>
                    </w:rPr>
                    <w:t>个/a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0" w:type="pct"/>
                  <w:gridSpan w:val="4"/>
                  <w:vAlign w:val="center"/>
                </w:tcPr>
                <w:p>
                  <w:pPr>
                    <w:pStyle w:val="66"/>
                    <w:rPr>
                      <w:lang w:eastAsia="zh-CN"/>
                    </w:rPr>
                  </w:pPr>
                  <w:r>
                    <w:rPr>
                      <w:rFonts w:hint="eastAsia"/>
                      <w:lang w:eastAsia="zh-CN"/>
                    </w:rPr>
                    <w:t>排放标准</w:t>
                  </w:r>
                </w:p>
              </w:tc>
              <w:tc>
                <w:tcPr>
                  <w:tcW w:w="578" w:type="pct"/>
                  <w:vAlign w:val="center"/>
                </w:tcPr>
                <w:p>
                  <w:pPr>
                    <w:pStyle w:val="66"/>
                    <w:rPr>
                      <w:lang w:eastAsia="zh-CN"/>
                    </w:rPr>
                  </w:pPr>
                  <w:r>
                    <w:rPr>
                      <w:rFonts w:hint="eastAsia"/>
                      <w:lang w:eastAsia="zh-CN"/>
                    </w:rPr>
                    <w:t>2</w:t>
                  </w:r>
                  <w:r>
                    <w:rPr>
                      <w:lang w:eastAsia="zh-CN"/>
                    </w:rPr>
                    <w:t>50</w:t>
                  </w:r>
                </w:p>
              </w:tc>
              <w:tc>
                <w:tcPr>
                  <w:tcW w:w="513" w:type="pct"/>
                  <w:vAlign w:val="center"/>
                </w:tcPr>
                <w:p>
                  <w:pPr>
                    <w:pStyle w:val="66"/>
                    <w:rPr>
                      <w:lang w:eastAsia="zh-CN"/>
                    </w:rPr>
                  </w:pPr>
                  <w:r>
                    <w:rPr>
                      <w:rFonts w:hint="eastAsia"/>
                      <w:lang w:eastAsia="zh-CN"/>
                    </w:rPr>
                    <w:t>1</w:t>
                  </w:r>
                  <w:r>
                    <w:rPr>
                      <w:lang w:eastAsia="zh-CN"/>
                    </w:rPr>
                    <w:t>00</w:t>
                  </w:r>
                </w:p>
              </w:tc>
              <w:tc>
                <w:tcPr>
                  <w:tcW w:w="484" w:type="pct"/>
                  <w:vAlign w:val="center"/>
                </w:tcPr>
                <w:p>
                  <w:pPr>
                    <w:pStyle w:val="66"/>
                    <w:rPr>
                      <w:lang w:eastAsia="zh-CN"/>
                    </w:rPr>
                  </w:pPr>
                  <w:r>
                    <w:rPr>
                      <w:rFonts w:hint="eastAsia"/>
                      <w:lang w:eastAsia="zh-CN"/>
                    </w:rPr>
                    <w:t>6</w:t>
                  </w:r>
                  <w:r>
                    <w:rPr>
                      <w:lang w:eastAsia="zh-CN"/>
                    </w:rPr>
                    <w:t>0</w:t>
                  </w:r>
                </w:p>
              </w:tc>
              <w:tc>
                <w:tcPr>
                  <w:tcW w:w="484" w:type="pct"/>
                  <w:vAlign w:val="center"/>
                </w:tcPr>
                <w:p>
                  <w:pPr>
                    <w:pStyle w:val="66"/>
                    <w:rPr>
                      <w:lang w:eastAsia="zh-CN"/>
                    </w:rPr>
                  </w:pPr>
                  <w:r>
                    <w:rPr>
                      <w:rFonts w:hint="eastAsia"/>
                      <w:lang w:eastAsia="zh-CN"/>
                    </w:rPr>
                    <w:t>4</w:t>
                  </w:r>
                  <w:r>
                    <w:rPr>
                      <w:lang w:eastAsia="zh-CN"/>
                    </w:rPr>
                    <w:t>5</w:t>
                  </w:r>
                </w:p>
              </w:tc>
              <w:tc>
                <w:tcPr>
                  <w:tcW w:w="962" w:type="pct"/>
                  <w:vAlign w:val="center"/>
                </w:tcPr>
                <w:p>
                  <w:pPr>
                    <w:pStyle w:val="66"/>
                    <w:rPr>
                      <w:lang w:val="en-US" w:eastAsia="zh-CN"/>
                    </w:rPr>
                  </w:pPr>
                  <w:r>
                    <w:rPr>
                      <w:rFonts w:hint="eastAsia"/>
                      <w:lang w:val="en-US" w:eastAsia="zh-CN"/>
                    </w:rPr>
                    <w:t>5</w:t>
                  </w:r>
                  <w:r>
                    <w:rPr>
                      <w:lang w:val="en-US" w:eastAsia="zh-CN"/>
                    </w:rPr>
                    <w:t>000 MPN/L</w:t>
                  </w:r>
                </w:p>
              </w:tc>
            </w:tr>
          </w:tbl>
          <w:p>
            <w:pPr>
              <w:pStyle w:val="56"/>
            </w:pPr>
          </w:p>
          <w:p>
            <w:pPr>
              <w:pStyle w:val="5"/>
            </w:pPr>
            <w:r>
              <w:rPr>
                <w:rFonts w:hint="eastAsia"/>
              </w:rPr>
              <w:t>依托茂名高新技术产业开发区污水处理厂可行性分析</w:t>
            </w:r>
          </w:p>
          <w:p>
            <w:pPr>
              <w:ind w:firstLine="480"/>
              <w:rPr>
                <w:lang w:val="zh-CN"/>
              </w:rPr>
            </w:pPr>
            <w:r>
              <w:rPr>
                <w:rFonts w:hint="eastAsia"/>
                <w:lang w:val="zh-CN"/>
              </w:rPr>
              <w:t>本项目所在区域为广东茂名石化工业片区北片区内，项目废水经自建的污水处理站预处理后管道输送至茂名市高新技术产业开发区水质净化厂进一步处理。由于本项目属于茂名市高新技术产业开发区水质净化厂管网官网覆盖范围，因此，本项目综合废水管道排入茂名市高新技术产业开发区水质净化厂进一步处理可行。</w:t>
            </w:r>
          </w:p>
          <w:p>
            <w:pPr>
              <w:ind w:firstLine="480"/>
              <w:rPr>
                <w:lang w:val="zh-CN"/>
              </w:rPr>
            </w:pPr>
            <w:r>
              <w:rPr>
                <w:rFonts w:hint="eastAsia"/>
                <w:lang w:val="zh-CN"/>
              </w:rPr>
              <w:t>茂名市高新技术产业开发区水质净化厂废水处理工艺为生活污水及一般工业废水采用“格栅—曝气沉砂池”作为预处理单元，化工工业污水采用调节(前端设细格栅)+气浮+水解酸化作为预处理单元；二级处理工艺采用“AAO处理工艺”作为本工程工业污水的二级污水处理单元；深度处理工艺采用“臭氧氧化+曝气生物滤池”，在正常运行情况下，能够使尾水达到允许排放标准后排入澳内海工业排污区。</w:t>
            </w:r>
          </w:p>
          <w:p>
            <w:pPr>
              <w:ind w:firstLine="480"/>
              <w:rPr>
                <w:lang w:val="zh-CN"/>
              </w:rPr>
            </w:pPr>
            <w:r>
              <w:rPr>
                <w:rFonts w:hint="eastAsia"/>
                <w:lang w:val="zh-CN"/>
              </w:rPr>
              <w:t>生活污水和一般工业污水(鱼类加工等)由厂外重力流管网收集后，首先进入污水处理厂的粗格栅井内，经粗格栅去除的较大漂浮物后，进入提升泵站的吸水井，污水通过提升泵提升后进入细格栅，进一步拦截和去除污水中细小悬浮物，再经过沉砂池沉砂，分离并去除污水中砂粒，以保证后续的处理能正常运行；同时亦应去除污水中部分浮渣及油脂等，保证二级处理中微生物的正常生长。</w:t>
            </w:r>
          </w:p>
          <w:p>
            <w:pPr>
              <w:ind w:firstLine="480"/>
              <w:rPr>
                <w:lang w:val="zh-CN"/>
              </w:rPr>
            </w:pPr>
            <w:r>
              <w:rPr>
                <w:rFonts w:hint="eastAsia"/>
                <w:lang w:val="zh-CN"/>
              </w:rPr>
              <w:t>生活污水及一般工业废水若经检测超标，超标的污水切换进入事故池，待来水水质水量正常时，事故池经事故水提升泵小流量提升至厌氧池。</w:t>
            </w:r>
          </w:p>
          <w:p>
            <w:pPr>
              <w:ind w:firstLine="480"/>
              <w:rPr>
                <w:lang w:val="zh-CN"/>
              </w:rPr>
            </w:pPr>
            <w:r>
              <w:rPr>
                <w:rFonts w:hint="eastAsia"/>
                <w:lang w:val="zh-CN"/>
              </w:rPr>
              <w:t>园区的化工企业排出的化工生产污水通过厂外综合管廊压力流首先经网板式细格栅进入调节池，去除来水中细小的悬浮物；调节池中通过在线仪表监测，若超标将废水切换入事故池；待来水水质水量正常时，事故池经事故水水水提升泵小流量提升至匀质调节池；调节池出水自流进入混凝气浮池，污水首先在混凝气浮池的混合段与投加的PAC、PAM充分混合，混合后流入絮凝段，在絮凝段内形成絮凝体，絮凝段出水再进入气浮段，油类、SS在气浮池中得以去除。气浮池上清液进入臭氧预氧化池。通过投加臭氧对难生物降解及有生物毒性的物质进行预氧化，提高可生化性和降低生物毒性，出水自流进入水解酸化池。若来水的水质较好，可从调节池直接超越至水解酸化池。</w:t>
            </w:r>
          </w:p>
          <w:p>
            <w:pPr>
              <w:ind w:firstLine="480"/>
              <w:rPr>
                <w:lang w:val="zh-CN"/>
              </w:rPr>
            </w:pPr>
            <w:r>
              <w:rPr>
                <w:rFonts w:hint="eastAsia"/>
                <w:lang w:val="zh-CN"/>
              </w:rPr>
              <w:t>在水解酸化池内设潜水搅拌，使化工废水布水均匀，在水解酸化池中降将难生化的大分子物质转化为易生化的小分子物质，在水解酸化池末端设置中沉池，沉淀下的污泥回流至水解酸化池。水解池出水进入生化阶段的核心工艺，即A</w:t>
            </w:r>
            <w:r>
              <w:rPr>
                <w:rFonts w:hint="eastAsia"/>
                <w:vertAlign w:val="superscript"/>
                <w:lang w:val="zh-CN"/>
              </w:rPr>
              <w:t>2</w:t>
            </w:r>
            <w:r>
              <w:rPr>
                <w:rFonts w:hint="eastAsia"/>
                <w:lang w:val="zh-CN"/>
              </w:rPr>
              <w:t>/O生化池，与生活污水合并处理。</w:t>
            </w:r>
          </w:p>
          <w:p>
            <w:pPr>
              <w:ind w:firstLine="480"/>
              <w:rPr>
                <w:lang w:val="zh-CN"/>
              </w:rPr>
            </w:pPr>
            <w:r>
              <w:rPr>
                <w:rFonts w:hint="eastAsia"/>
                <w:lang w:val="zh-CN"/>
              </w:rPr>
              <w:t>在厌氧池将回流污泥中的磷释放、在缺氧池内将进水中以及回流液中硝酸盐、亚硝酸盐反硝化成氮气，在好氧池内将污水中大部分有机污染物降解、将污水中氨氮硝化成亚硝酸盐和硝酸盐、活性污泥过量地吸附污水中的磷。缺氧池与好氧池之间设置预曝气池，去除厌氧、缺氧段产生的有害气体。好氧池中设鼓风曝气，为微生物提供必要的氧气；O池设置两级，第一级采用纯活性污泥法，第二级采用生物膜法，向污水中投放悬浮填料，悬浮填料的填充率不超过30%，为微生物提供足够的附着空间，增加生化池中微生物的量，使得污水、空气和生物膜得到充分接触、交换。为提高生物脱氮的效率，O池末端设置脱气池，脱气池中的硝化液回流至缺氧池。生化池出水自流进入二沉池，在二沉池内进行泥水分离，回流污泥提升至生化池前端厌氧池，剩余污泥提升至污泥浓缩池。</w:t>
            </w:r>
          </w:p>
          <w:p>
            <w:pPr>
              <w:ind w:firstLine="480"/>
              <w:rPr>
                <w:lang w:val="zh-CN"/>
              </w:rPr>
            </w:pPr>
            <w:r>
              <w:rPr>
                <w:rFonts w:hint="eastAsia"/>
                <w:lang w:val="zh-CN"/>
              </w:rPr>
              <w:t>二沉池上清液出水自流进中间提升泵站，经泵提升至D型滤池进行沉淀分离，去除污水中SS和TP。D型滤池出水自流进入臭氧接触池，在接触池内通过投加臭氧进行改性，增加污水的可生化性、降低和去除其毒性，去除污水中的色度。臭氧接触池出水自流进入生物滤池，进一步的去除污水中COD</w:t>
            </w:r>
            <w:r>
              <w:rPr>
                <w:rFonts w:hint="eastAsia"/>
                <w:vertAlign w:val="subscript"/>
                <w:lang w:val="zh-CN"/>
              </w:rPr>
              <w:t>Cr</w:t>
            </w:r>
            <w:r>
              <w:rPr>
                <w:rFonts w:hint="eastAsia"/>
                <w:lang w:val="zh-CN"/>
              </w:rPr>
              <w:t>、BOD</w:t>
            </w:r>
            <w:r>
              <w:rPr>
                <w:rFonts w:hint="eastAsia"/>
                <w:vertAlign w:val="subscript"/>
                <w:lang w:val="zh-CN"/>
              </w:rPr>
              <w:t>5</w:t>
            </w:r>
            <w:r>
              <w:rPr>
                <w:rFonts w:hint="eastAsia"/>
                <w:lang w:val="zh-CN"/>
              </w:rPr>
              <w:t>、NH</w:t>
            </w:r>
            <w:r>
              <w:rPr>
                <w:rFonts w:hint="eastAsia"/>
                <w:vertAlign w:val="subscript"/>
                <w:lang w:val="zh-CN"/>
              </w:rPr>
              <w:t>3</w:t>
            </w:r>
            <w:r>
              <w:rPr>
                <w:rFonts w:hint="eastAsia"/>
                <w:lang w:val="zh-CN"/>
              </w:rPr>
              <w:t>-N、SS。生物滤池采用滤后水进行反洗，反洗出水自流入提升泵房。达标废水可通过乙烯厂排海管道排放至澳内海。</w:t>
            </w:r>
          </w:p>
          <w:p>
            <w:pPr>
              <w:ind w:firstLine="480"/>
              <w:rPr>
                <w:lang w:val="zh-CN"/>
              </w:rPr>
            </w:pPr>
            <w:r>
              <w:rPr>
                <w:rFonts w:hint="eastAsia"/>
                <w:lang w:val="zh-CN"/>
              </w:rPr>
              <w:t>污水排放口同时设巴歇尔槽计量和管道电磁流量计量，巴歇尔明渠方便日常检查和观测出水水质变化。</w:t>
            </w:r>
          </w:p>
          <w:p>
            <w:pPr>
              <w:pStyle w:val="56"/>
              <w:keepNext/>
            </w:pPr>
            <w:r>
              <w:drawing>
                <wp:inline distT="0" distB="0" distL="0" distR="0">
                  <wp:extent cx="4647565" cy="388874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9" cstate="email"/>
                          <a:stretch>
                            <a:fillRect/>
                          </a:stretch>
                        </pic:blipFill>
                        <pic:spPr>
                          <a:xfrm>
                            <a:off x="0" y="0"/>
                            <a:ext cx="4647565" cy="3888740"/>
                          </a:xfrm>
                          <a:prstGeom prst="rect">
                            <a:avLst/>
                          </a:prstGeom>
                        </pic:spPr>
                      </pic:pic>
                    </a:graphicData>
                  </a:graphic>
                </wp:inline>
              </w:drawing>
            </w:r>
          </w:p>
          <w:p>
            <w:pPr>
              <w:pStyle w:val="55"/>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茂名高新技术产业开发区污水处理厂处理工艺流程</w:t>
            </w:r>
            <w:r>
              <w:rPr>
                <w:rFonts w:hint="eastAsia"/>
                <w:lang w:eastAsia="zh-CN"/>
              </w:rPr>
              <w:t>图</w:t>
            </w:r>
          </w:p>
          <w:p>
            <w:pPr>
              <w:ind w:firstLine="480"/>
              <w:rPr>
                <w:lang w:val="zh-CN" w:eastAsia="zh-CN"/>
              </w:rPr>
            </w:pPr>
            <w:r>
              <w:rPr>
                <w:rFonts w:hint="eastAsia"/>
                <w:lang w:val="zh-CN" w:eastAsia="zh-CN"/>
              </w:rPr>
              <w:t>茂名市高新技术产业开发区水质净化厂对其他企业委托处理的废水的水量及水质进行考核，当水量或水质超过指标，茂名市高新技术产业开发区水质净化厂将收取废水处理超标费，根据协议双方责权明确，接纳废水进入茂名市高新技术产业开发区水质净化厂处理达标后排入澳内海，不会对纳污水体的水质环境质量产生明显影响。</w:t>
            </w:r>
          </w:p>
          <w:p>
            <w:pPr>
              <w:ind w:firstLine="480"/>
              <w:rPr>
                <w:lang w:val="zh-CN"/>
              </w:rPr>
            </w:pPr>
            <w:r>
              <w:rPr>
                <w:rFonts w:hint="eastAsia"/>
                <w:lang w:val="zh-CN"/>
              </w:rPr>
              <w:t>根据《2022年7月茂名市重点排污单位监督性监测数据公示表》（</w:t>
            </w:r>
            <w:r>
              <w:rPr>
                <w:lang w:val="zh-CN"/>
              </w:rPr>
              <w:t>http://sthjj.maoming.gov.cn/sjkf/jdxjc/content/post_1073920.html</w:t>
            </w:r>
            <w:r>
              <w:rPr>
                <w:rFonts w:hint="eastAsia"/>
                <w:lang w:val="zh-CN"/>
              </w:rPr>
              <w:t>），公布2022年</w:t>
            </w:r>
            <w:r>
              <w:rPr>
                <w:lang w:val="zh-CN"/>
              </w:rPr>
              <w:t>7</w:t>
            </w:r>
            <w:r>
              <w:rPr>
                <w:rFonts w:hint="eastAsia"/>
                <w:lang w:val="zh-CN"/>
              </w:rPr>
              <w:t>月茂名市重点排污单位（废水）监督性监测结果，高新区水质净化厂废水总排口水污染物监测结果均达标，详见下表：</w:t>
            </w:r>
          </w:p>
          <w:p>
            <w:pPr>
              <w:pStyle w:val="55"/>
              <w:rPr>
                <w:lang w:eastAsia="zh-CN"/>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茂名高新技术产业开发区污水处理厂</w:t>
            </w:r>
            <w:r>
              <w:rPr>
                <w:rFonts w:hint="eastAsia"/>
                <w:lang w:eastAsia="zh-CN"/>
              </w:rPr>
              <w:t>废水排放最新</w:t>
            </w:r>
            <w:r>
              <w:rPr>
                <w:rFonts w:hint="eastAsia"/>
              </w:rPr>
              <w:t>监测结果</w:t>
            </w:r>
          </w:p>
          <w:tbl>
            <w:tblPr>
              <w:tblStyle w:val="65"/>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58"/>
              <w:gridCol w:w="2891"/>
              <w:gridCol w:w="1779"/>
              <w:gridCol w:w="1779"/>
              <w:gridCol w:w="178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pPr>
                  <w:r>
                    <w:rPr>
                      <w:rFonts w:hint="eastAsia"/>
                    </w:rPr>
                    <w:t>序号</w:t>
                  </w:r>
                </w:p>
              </w:tc>
              <w:tc>
                <w:tcPr>
                  <w:tcW w:w="1573" w:type="pct"/>
                  <w:tcBorders>
                    <w:tl2br w:val="nil"/>
                    <w:tr2bl w:val="nil"/>
                  </w:tcBorders>
                  <w:vAlign w:val="center"/>
                </w:tcPr>
                <w:p>
                  <w:pPr>
                    <w:pStyle w:val="56"/>
                  </w:pPr>
                  <w:r>
                    <w:rPr>
                      <w:rFonts w:hint="eastAsia"/>
                    </w:rPr>
                    <w:t>污染物</w:t>
                  </w:r>
                </w:p>
              </w:tc>
              <w:tc>
                <w:tcPr>
                  <w:tcW w:w="968" w:type="pct"/>
                  <w:tcBorders>
                    <w:tl2br w:val="nil"/>
                    <w:tr2bl w:val="nil"/>
                  </w:tcBorders>
                  <w:vAlign w:val="center"/>
                </w:tcPr>
                <w:p>
                  <w:pPr>
                    <w:pStyle w:val="56"/>
                  </w:pPr>
                  <w:r>
                    <w:rPr>
                      <w:rFonts w:hint="eastAsia"/>
                    </w:rPr>
                    <w:t>污水处理厂执行标准</w:t>
                  </w:r>
                </w:p>
              </w:tc>
              <w:tc>
                <w:tcPr>
                  <w:tcW w:w="968" w:type="pct"/>
                  <w:tcBorders>
                    <w:tl2br w:val="nil"/>
                    <w:tr2bl w:val="nil"/>
                  </w:tcBorders>
                  <w:vAlign w:val="center"/>
                </w:tcPr>
                <w:p>
                  <w:pPr>
                    <w:pStyle w:val="56"/>
                  </w:pPr>
                  <w:r>
                    <w:rPr>
                      <w:rFonts w:hint="eastAsia"/>
                    </w:rPr>
                    <w:t>监测结果</w:t>
                  </w:r>
                </w:p>
              </w:tc>
              <w:tc>
                <w:tcPr>
                  <w:tcW w:w="969" w:type="pct"/>
                  <w:tcBorders>
                    <w:tl2br w:val="nil"/>
                    <w:tr2bl w:val="nil"/>
                  </w:tcBorders>
                  <w:vAlign w:val="center"/>
                </w:tcPr>
                <w:p>
                  <w:pPr>
                    <w:pStyle w:val="56"/>
                  </w:pPr>
                  <w:r>
                    <w:rPr>
                      <w:rFonts w:hint="eastAsia"/>
                    </w:rPr>
                    <w:t>是否达标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pPr>
                  <w:r>
                    <w:rPr>
                      <w:rFonts w:hint="eastAsia"/>
                    </w:rPr>
                    <w:t>1</w:t>
                  </w:r>
                </w:p>
              </w:tc>
              <w:tc>
                <w:tcPr>
                  <w:tcW w:w="1573" w:type="pct"/>
                  <w:tcBorders>
                    <w:tl2br w:val="nil"/>
                    <w:tr2bl w:val="nil"/>
                  </w:tcBorders>
                  <w:vAlign w:val="center"/>
                </w:tcPr>
                <w:p>
                  <w:pPr>
                    <w:pStyle w:val="56"/>
                  </w:pPr>
                  <w:r>
                    <w:rPr>
                      <w:rFonts w:hint="eastAsia"/>
                    </w:rPr>
                    <w:t>pH（无量纲）</w:t>
                  </w:r>
                </w:p>
              </w:tc>
              <w:tc>
                <w:tcPr>
                  <w:tcW w:w="968" w:type="pct"/>
                  <w:tcBorders>
                    <w:tl2br w:val="nil"/>
                    <w:tr2bl w:val="nil"/>
                  </w:tcBorders>
                  <w:vAlign w:val="center"/>
                </w:tcPr>
                <w:p>
                  <w:pPr>
                    <w:pStyle w:val="56"/>
                    <w:rPr>
                      <w:lang w:eastAsia="zh-CN"/>
                    </w:rPr>
                  </w:pPr>
                  <w:r>
                    <w:rPr>
                      <w:rFonts w:hint="eastAsia"/>
                      <w:lang w:eastAsia="zh-CN"/>
                    </w:rPr>
                    <w:t>6</w:t>
                  </w:r>
                  <w:r>
                    <w:rPr>
                      <w:lang w:eastAsia="zh-CN"/>
                    </w:rPr>
                    <w:t>-9</w:t>
                  </w:r>
                </w:p>
              </w:tc>
              <w:tc>
                <w:tcPr>
                  <w:tcW w:w="968" w:type="pct"/>
                  <w:tcBorders>
                    <w:tl2br w:val="nil"/>
                    <w:tr2bl w:val="nil"/>
                  </w:tcBorders>
                  <w:vAlign w:val="center"/>
                </w:tcPr>
                <w:p>
                  <w:pPr>
                    <w:pStyle w:val="56"/>
                  </w:pPr>
                  <w:r>
                    <w:rPr>
                      <w:lang w:eastAsia="zh-CN"/>
                    </w:rPr>
                    <w:t>7.94</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pPr>
                  <w:r>
                    <w:rPr>
                      <w:rFonts w:hint="eastAsia"/>
                    </w:rPr>
                    <w:t>2</w:t>
                  </w:r>
                </w:p>
              </w:tc>
              <w:tc>
                <w:tcPr>
                  <w:tcW w:w="1573" w:type="pct"/>
                  <w:tcBorders>
                    <w:tl2br w:val="nil"/>
                    <w:tr2bl w:val="nil"/>
                  </w:tcBorders>
                  <w:vAlign w:val="center"/>
                </w:tcPr>
                <w:p>
                  <w:pPr>
                    <w:pStyle w:val="56"/>
                  </w:pPr>
                  <w:r>
                    <w:rPr>
                      <w:rFonts w:hint="eastAsia"/>
                    </w:rPr>
                    <w:t>SS（mg/L）</w:t>
                  </w:r>
                </w:p>
              </w:tc>
              <w:tc>
                <w:tcPr>
                  <w:tcW w:w="968" w:type="pct"/>
                  <w:tcBorders>
                    <w:tl2br w:val="nil"/>
                    <w:tr2bl w:val="nil"/>
                  </w:tcBorders>
                  <w:vAlign w:val="center"/>
                </w:tcPr>
                <w:p>
                  <w:pPr>
                    <w:pStyle w:val="56"/>
                    <w:rPr>
                      <w:lang w:eastAsia="zh-CN"/>
                    </w:rPr>
                  </w:pPr>
                  <w:r>
                    <w:rPr>
                      <w:rFonts w:hint="eastAsia"/>
                      <w:lang w:eastAsia="zh-CN"/>
                    </w:rPr>
                    <w:t>1</w:t>
                  </w:r>
                  <w:r>
                    <w:rPr>
                      <w:lang w:eastAsia="zh-CN"/>
                    </w:rPr>
                    <w:t>0</w:t>
                  </w:r>
                </w:p>
              </w:tc>
              <w:tc>
                <w:tcPr>
                  <w:tcW w:w="968" w:type="pct"/>
                  <w:tcBorders>
                    <w:tl2br w:val="nil"/>
                    <w:tr2bl w:val="nil"/>
                  </w:tcBorders>
                  <w:vAlign w:val="center"/>
                </w:tcPr>
                <w:p>
                  <w:pPr>
                    <w:pStyle w:val="56"/>
                  </w:pPr>
                  <w:r>
                    <w:rPr>
                      <w:rFonts w:hint="eastAsia"/>
                      <w:lang w:eastAsia="zh-CN"/>
                    </w:rPr>
                    <w:t>1</w:t>
                  </w:r>
                  <w:r>
                    <w:rPr>
                      <w:lang w:eastAsia="zh-CN"/>
                    </w:rPr>
                    <w:t>0</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38" w:hRule="atLeast"/>
                <w:jc w:val="center"/>
              </w:trPr>
              <w:tc>
                <w:tcPr>
                  <w:tcW w:w="521" w:type="pct"/>
                  <w:tcBorders>
                    <w:tl2br w:val="nil"/>
                    <w:tr2bl w:val="nil"/>
                  </w:tcBorders>
                  <w:vAlign w:val="center"/>
                </w:tcPr>
                <w:p>
                  <w:pPr>
                    <w:pStyle w:val="56"/>
                  </w:pPr>
                  <w:r>
                    <w:rPr>
                      <w:rFonts w:hint="eastAsia"/>
                    </w:rPr>
                    <w:t>3</w:t>
                  </w:r>
                </w:p>
              </w:tc>
              <w:tc>
                <w:tcPr>
                  <w:tcW w:w="1573" w:type="pct"/>
                  <w:tcBorders>
                    <w:tl2br w:val="nil"/>
                    <w:tr2bl w:val="nil"/>
                  </w:tcBorders>
                  <w:vAlign w:val="center"/>
                </w:tcPr>
                <w:p>
                  <w:pPr>
                    <w:pStyle w:val="56"/>
                  </w:pPr>
                  <w:r>
                    <w:rPr>
                      <w:rFonts w:hint="eastAsia"/>
                    </w:rPr>
                    <w:t>COD</w:t>
                  </w:r>
                  <w:r>
                    <w:rPr>
                      <w:rFonts w:hint="eastAsia"/>
                      <w:vertAlign w:val="subscript"/>
                    </w:rPr>
                    <w:t>Cr</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5</w:t>
                  </w:r>
                  <w:r>
                    <w:rPr>
                      <w:lang w:eastAsia="zh-CN"/>
                    </w:rPr>
                    <w:t>0</w:t>
                  </w:r>
                </w:p>
              </w:tc>
              <w:tc>
                <w:tcPr>
                  <w:tcW w:w="968" w:type="pct"/>
                  <w:tcBorders>
                    <w:tl2br w:val="nil"/>
                    <w:tr2bl w:val="nil"/>
                  </w:tcBorders>
                  <w:vAlign w:val="center"/>
                </w:tcPr>
                <w:p>
                  <w:pPr>
                    <w:pStyle w:val="56"/>
                  </w:pPr>
                  <w:r>
                    <w:rPr>
                      <w:rFonts w:hint="eastAsia"/>
                      <w:lang w:eastAsia="zh-CN"/>
                    </w:rPr>
                    <w:t>1</w:t>
                  </w:r>
                  <w:r>
                    <w:rPr>
                      <w:lang w:eastAsia="zh-CN"/>
                    </w:rPr>
                    <w:t>0</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pPr>
                  <w:r>
                    <w:rPr>
                      <w:rFonts w:hint="eastAsia"/>
                    </w:rPr>
                    <w:t>4</w:t>
                  </w:r>
                </w:p>
              </w:tc>
              <w:tc>
                <w:tcPr>
                  <w:tcW w:w="1573" w:type="pct"/>
                  <w:tcBorders>
                    <w:tl2br w:val="nil"/>
                    <w:tr2bl w:val="nil"/>
                  </w:tcBorders>
                  <w:vAlign w:val="center"/>
                </w:tcPr>
                <w:p>
                  <w:pPr>
                    <w:pStyle w:val="56"/>
                  </w:pPr>
                  <w:r>
                    <w:rPr>
                      <w:rFonts w:hint="eastAsia"/>
                    </w:rPr>
                    <w:t>BOD</w:t>
                  </w:r>
                  <w:r>
                    <w:rPr>
                      <w:rFonts w:hint="eastAsia"/>
                      <w:vertAlign w:val="subscript"/>
                    </w:rPr>
                    <w:t>5</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1</w:t>
                  </w:r>
                  <w:r>
                    <w:rPr>
                      <w:lang w:eastAsia="zh-CN"/>
                    </w:rPr>
                    <w:t>0</w:t>
                  </w:r>
                </w:p>
              </w:tc>
              <w:tc>
                <w:tcPr>
                  <w:tcW w:w="968" w:type="pct"/>
                  <w:tcBorders>
                    <w:tl2br w:val="nil"/>
                    <w:tr2bl w:val="nil"/>
                  </w:tcBorders>
                  <w:vAlign w:val="center"/>
                </w:tcPr>
                <w:p>
                  <w:pPr>
                    <w:pStyle w:val="56"/>
                  </w:pPr>
                  <w:r>
                    <w:rPr>
                      <w:rFonts w:hint="eastAsia"/>
                      <w:lang w:eastAsia="zh-CN"/>
                    </w:rPr>
                    <w:t>1</w:t>
                  </w:r>
                  <w:r>
                    <w:rPr>
                      <w:lang w:eastAsia="zh-CN"/>
                    </w:rPr>
                    <w:t>.4</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90" w:hRule="atLeast"/>
                <w:jc w:val="center"/>
              </w:trPr>
              <w:tc>
                <w:tcPr>
                  <w:tcW w:w="521" w:type="pct"/>
                  <w:tcBorders>
                    <w:tl2br w:val="nil"/>
                    <w:tr2bl w:val="nil"/>
                  </w:tcBorders>
                  <w:vAlign w:val="center"/>
                </w:tcPr>
                <w:p>
                  <w:pPr>
                    <w:pStyle w:val="56"/>
                  </w:pPr>
                  <w:r>
                    <w:rPr>
                      <w:rFonts w:hint="eastAsia"/>
                    </w:rPr>
                    <w:t>5</w:t>
                  </w:r>
                </w:p>
              </w:tc>
              <w:tc>
                <w:tcPr>
                  <w:tcW w:w="1573" w:type="pct"/>
                  <w:tcBorders>
                    <w:tl2br w:val="nil"/>
                    <w:tr2bl w:val="nil"/>
                  </w:tcBorders>
                  <w:vAlign w:val="center"/>
                </w:tcPr>
                <w:p>
                  <w:pPr>
                    <w:pStyle w:val="56"/>
                  </w:pPr>
                  <w:r>
                    <w:rPr>
                      <w:rFonts w:hint="eastAsia"/>
                    </w:rPr>
                    <w:t>动植物油(mg/L)</w:t>
                  </w:r>
                </w:p>
              </w:tc>
              <w:tc>
                <w:tcPr>
                  <w:tcW w:w="968" w:type="pct"/>
                  <w:tcBorders>
                    <w:tl2br w:val="nil"/>
                    <w:tr2bl w:val="nil"/>
                  </w:tcBorders>
                  <w:vAlign w:val="center"/>
                </w:tcPr>
                <w:p>
                  <w:pPr>
                    <w:pStyle w:val="56"/>
                    <w:rPr>
                      <w:lang w:eastAsia="zh-CN"/>
                    </w:rPr>
                  </w:pPr>
                  <w:r>
                    <w:rPr>
                      <w:rFonts w:hint="eastAsia"/>
                      <w:lang w:eastAsia="zh-CN"/>
                    </w:rPr>
                    <w:t>1</w:t>
                  </w:r>
                </w:p>
              </w:tc>
              <w:tc>
                <w:tcPr>
                  <w:tcW w:w="968" w:type="pct"/>
                  <w:tcBorders>
                    <w:tl2br w:val="nil"/>
                    <w:tr2bl w:val="nil"/>
                  </w:tcBorders>
                  <w:vAlign w:val="center"/>
                </w:tcPr>
                <w:p>
                  <w:pPr>
                    <w:pStyle w:val="56"/>
                  </w:pPr>
                  <w:r>
                    <w:rPr>
                      <w:rFonts w:hint="eastAsia"/>
                      <w:lang w:eastAsia="zh-CN"/>
                    </w:rPr>
                    <w:t>0</w:t>
                  </w:r>
                  <w:r>
                    <w:rPr>
                      <w:lang w:eastAsia="zh-CN"/>
                    </w:rPr>
                    <w:t>.06</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21" w:type="pct"/>
                  <w:tcBorders>
                    <w:tl2br w:val="nil"/>
                    <w:tr2bl w:val="nil"/>
                  </w:tcBorders>
                  <w:vAlign w:val="center"/>
                </w:tcPr>
                <w:p>
                  <w:pPr>
                    <w:pStyle w:val="56"/>
                  </w:pPr>
                  <w:r>
                    <w:rPr>
                      <w:rFonts w:hint="eastAsia"/>
                    </w:rPr>
                    <w:t>6</w:t>
                  </w:r>
                </w:p>
              </w:tc>
              <w:tc>
                <w:tcPr>
                  <w:tcW w:w="1573" w:type="pct"/>
                  <w:tcBorders>
                    <w:tl2br w:val="nil"/>
                    <w:tr2bl w:val="nil"/>
                  </w:tcBorders>
                  <w:vAlign w:val="center"/>
                </w:tcPr>
                <w:p>
                  <w:pPr>
                    <w:pStyle w:val="56"/>
                  </w:pPr>
                  <w:r>
                    <w:rPr>
                      <w:rFonts w:hint="eastAsia"/>
                    </w:rPr>
                    <w:t>氨氮（mg/L）</w:t>
                  </w:r>
                </w:p>
              </w:tc>
              <w:tc>
                <w:tcPr>
                  <w:tcW w:w="968" w:type="pct"/>
                  <w:tcBorders>
                    <w:tl2br w:val="nil"/>
                    <w:tr2bl w:val="nil"/>
                  </w:tcBorders>
                  <w:vAlign w:val="center"/>
                </w:tcPr>
                <w:p>
                  <w:pPr>
                    <w:pStyle w:val="56"/>
                    <w:rPr>
                      <w:lang w:eastAsia="zh-CN"/>
                    </w:rPr>
                  </w:pPr>
                  <w:r>
                    <w:rPr>
                      <w:rFonts w:hint="eastAsia"/>
                      <w:lang w:eastAsia="zh-CN"/>
                    </w:rPr>
                    <w:t>5</w:t>
                  </w:r>
                </w:p>
              </w:tc>
              <w:tc>
                <w:tcPr>
                  <w:tcW w:w="968" w:type="pct"/>
                  <w:tcBorders>
                    <w:tl2br w:val="nil"/>
                    <w:tr2bl w:val="nil"/>
                  </w:tcBorders>
                  <w:vAlign w:val="center"/>
                </w:tcPr>
                <w:p>
                  <w:pPr>
                    <w:pStyle w:val="56"/>
                  </w:pPr>
                  <w:r>
                    <w:rPr>
                      <w:rFonts w:hint="eastAsia"/>
                      <w:lang w:eastAsia="zh-CN"/>
                    </w:rPr>
                    <w:t>0</w:t>
                  </w:r>
                  <w:r>
                    <w:rPr>
                      <w:lang w:eastAsia="zh-CN"/>
                    </w:rPr>
                    <w:t>.03</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0" w:hRule="atLeast"/>
                <w:jc w:val="center"/>
              </w:trPr>
              <w:tc>
                <w:tcPr>
                  <w:tcW w:w="521" w:type="pct"/>
                  <w:tcBorders>
                    <w:tl2br w:val="nil"/>
                    <w:tr2bl w:val="nil"/>
                  </w:tcBorders>
                  <w:vAlign w:val="center"/>
                </w:tcPr>
                <w:p>
                  <w:pPr>
                    <w:pStyle w:val="56"/>
                  </w:pPr>
                  <w:r>
                    <w:rPr>
                      <w:rFonts w:hint="eastAsia"/>
                    </w:rPr>
                    <w:t>7</w:t>
                  </w:r>
                </w:p>
              </w:tc>
              <w:tc>
                <w:tcPr>
                  <w:tcW w:w="1573" w:type="pct"/>
                  <w:tcBorders>
                    <w:tl2br w:val="nil"/>
                    <w:tr2bl w:val="nil"/>
                  </w:tcBorders>
                  <w:vAlign w:val="center"/>
                </w:tcPr>
                <w:p>
                  <w:pPr>
                    <w:pStyle w:val="56"/>
                  </w:pPr>
                  <w:r>
                    <w:rPr>
                      <w:rFonts w:hint="eastAsia"/>
                    </w:rPr>
                    <w:t>总氮（mg/L）</w:t>
                  </w:r>
                </w:p>
              </w:tc>
              <w:tc>
                <w:tcPr>
                  <w:tcW w:w="968" w:type="pct"/>
                  <w:tcBorders>
                    <w:tl2br w:val="nil"/>
                    <w:tr2bl w:val="nil"/>
                  </w:tcBorders>
                  <w:vAlign w:val="center"/>
                </w:tcPr>
                <w:p>
                  <w:pPr>
                    <w:pStyle w:val="56"/>
                    <w:rPr>
                      <w:lang w:eastAsia="zh-CN"/>
                    </w:rPr>
                  </w:pPr>
                  <w:r>
                    <w:rPr>
                      <w:rFonts w:hint="eastAsia"/>
                      <w:lang w:eastAsia="zh-CN"/>
                    </w:rPr>
                    <w:t>1</w:t>
                  </w:r>
                  <w:r>
                    <w:rPr>
                      <w:lang w:eastAsia="zh-CN"/>
                    </w:rPr>
                    <w:t>5</w:t>
                  </w:r>
                </w:p>
              </w:tc>
              <w:tc>
                <w:tcPr>
                  <w:tcW w:w="968" w:type="pct"/>
                  <w:tcBorders>
                    <w:tl2br w:val="nil"/>
                    <w:tr2bl w:val="nil"/>
                  </w:tcBorders>
                  <w:vAlign w:val="center"/>
                </w:tcPr>
                <w:p>
                  <w:pPr>
                    <w:pStyle w:val="56"/>
                  </w:pPr>
                  <w:r>
                    <w:rPr>
                      <w:rFonts w:hint="eastAsia"/>
                      <w:lang w:eastAsia="zh-CN"/>
                    </w:rPr>
                    <w:t>2</w:t>
                  </w:r>
                  <w:r>
                    <w:rPr>
                      <w:lang w:eastAsia="zh-CN"/>
                    </w:rPr>
                    <w:t>.91</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8</w:t>
                  </w:r>
                </w:p>
              </w:tc>
              <w:tc>
                <w:tcPr>
                  <w:tcW w:w="1573" w:type="pct"/>
                  <w:tcBorders>
                    <w:tl2br w:val="nil"/>
                    <w:tr2bl w:val="nil"/>
                  </w:tcBorders>
                  <w:vAlign w:val="center"/>
                </w:tcPr>
                <w:p>
                  <w:pPr>
                    <w:pStyle w:val="56"/>
                  </w:pPr>
                  <w:r>
                    <w:rPr>
                      <w:rFonts w:hint="eastAsia"/>
                    </w:rPr>
                    <w:t>总磷（mg/L）</w:t>
                  </w:r>
                </w:p>
              </w:tc>
              <w:tc>
                <w:tcPr>
                  <w:tcW w:w="968" w:type="pct"/>
                  <w:tcBorders>
                    <w:tl2br w:val="nil"/>
                    <w:tr2bl w:val="nil"/>
                  </w:tcBorders>
                  <w:vAlign w:val="center"/>
                </w:tcPr>
                <w:p>
                  <w:pPr>
                    <w:pStyle w:val="56"/>
                    <w:rPr>
                      <w:lang w:eastAsia="zh-CN"/>
                    </w:rPr>
                  </w:pPr>
                  <w:r>
                    <w:rPr>
                      <w:rFonts w:hint="eastAsia"/>
                      <w:lang w:eastAsia="zh-CN"/>
                    </w:rPr>
                    <w:t>0</w:t>
                  </w:r>
                  <w:r>
                    <w:rPr>
                      <w:lang w:eastAsia="zh-CN"/>
                    </w:rPr>
                    <w:t>.5</w:t>
                  </w:r>
                </w:p>
              </w:tc>
              <w:tc>
                <w:tcPr>
                  <w:tcW w:w="968" w:type="pct"/>
                  <w:tcBorders>
                    <w:tl2br w:val="nil"/>
                    <w:tr2bl w:val="nil"/>
                  </w:tcBorders>
                  <w:vAlign w:val="center"/>
                </w:tcPr>
                <w:p>
                  <w:pPr>
                    <w:pStyle w:val="56"/>
                  </w:pPr>
                  <w:r>
                    <w:rPr>
                      <w:rFonts w:hint="eastAsia"/>
                      <w:lang w:eastAsia="zh-CN"/>
                    </w:rPr>
                    <w:t>0</w:t>
                  </w:r>
                  <w:r>
                    <w:rPr>
                      <w:lang w:eastAsia="zh-CN"/>
                    </w:rPr>
                    <w:t>.2</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9</w:t>
                  </w:r>
                </w:p>
              </w:tc>
              <w:tc>
                <w:tcPr>
                  <w:tcW w:w="1573" w:type="pct"/>
                  <w:tcBorders>
                    <w:tl2br w:val="nil"/>
                    <w:tr2bl w:val="nil"/>
                  </w:tcBorders>
                  <w:vAlign w:val="center"/>
                </w:tcPr>
                <w:p>
                  <w:pPr>
                    <w:pStyle w:val="56"/>
                  </w:pPr>
                  <w:r>
                    <w:rPr>
                      <w:rFonts w:hint="eastAsia"/>
                      <w:lang w:eastAsia="zh-CN"/>
                    </w:rPr>
                    <w:t>总铬</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0</w:t>
                  </w:r>
                  <w:r>
                    <w:rPr>
                      <w:lang w:eastAsia="zh-CN"/>
                    </w:rPr>
                    <w:t>.1</w:t>
                  </w:r>
                </w:p>
              </w:tc>
              <w:tc>
                <w:tcPr>
                  <w:tcW w:w="968" w:type="pct"/>
                  <w:tcBorders>
                    <w:tl2br w:val="nil"/>
                    <w:tr2bl w:val="nil"/>
                  </w:tcBorders>
                  <w:vAlign w:val="center"/>
                </w:tcPr>
                <w:p>
                  <w:pPr>
                    <w:pStyle w:val="56"/>
                  </w:pPr>
                  <w:r>
                    <w:rPr>
                      <w:rFonts w:hint="eastAsia"/>
                      <w:lang w:eastAsia="zh-CN"/>
                    </w:rPr>
                    <w:t>0</w:t>
                  </w:r>
                  <w:r>
                    <w:rPr>
                      <w:lang w:eastAsia="zh-CN"/>
                    </w:rPr>
                    <w:t>.03</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0</w:t>
                  </w:r>
                </w:p>
              </w:tc>
              <w:tc>
                <w:tcPr>
                  <w:tcW w:w="1573" w:type="pct"/>
                  <w:tcBorders>
                    <w:tl2br w:val="nil"/>
                    <w:tr2bl w:val="nil"/>
                  </w:tcBorders>
                  <w:vAlign w:val="center"/>
                </w:tcPr>
                <w:p>
                  <w:pPr>
                    <w:pStyle w:val="56"/>
                  </w:pPr>
                  <w:r>
                    <w:rPr>
                      <w:rFonts w:hint="eastAsia"/>
                      <w:lang w:eastAsia="zh-CN"/>
                    </w:rPr>
                    <w:t>六价铬</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0</w:t>
                  </w:r>
                  <w:r>
                    <w:rPr>
                      <w:lang w:eastAsia="zh-CN"/>
                    </w:rPr>
                    <w:t>.05</w:t>
                  </w:r>
                </w:p>
              </w:tc>
              <w:tc>
                <w:tcPr>
                  <w:tcW w:w="968" w:type="pct"/>
                  <w:tcBorders>
                    <w:tl2br w:val="nil"/>
                    <w:tr2bl w:val="nil"/>
                  </w:tcBorders>
                  <w:vAlign w:val="center"/>
                </w:tcPr>
                <w:p>
                  <w:pPr>
                    <w:pStyle w:val="56"/>
                  </w:pPr>
                  <w:r>
                    <w:rPr>
                      <w:rFonts w:hint="eastAsia"/>
                      <w:lang w:eastAsia="zh-CN"/>
                    </w:rPr>
                    <w:t>0</w:t>
                  </w:r>
                  <w:r>
                    <w:rPr>
                      <w:lang w:eastAsia="zh-CN"/>
                    </w:rPr>
                    <w:t>.004</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1</w:t>
                  </w:r>
                </w:p>
              </w:tc>
              <w:tc>
                <w:tcPr>
                  <w:tcW w:w="1573" w:type="pct"/>
                  <w:tcBorders>
                    <w:tl2br w:val="nil"/>
                    <w:tr2bl w:val="nil"/>
                  </w:tcBorders>
                  <w:vAlign w:val="center"/>
                </w:tcPr>
                <w:p>
                  <w:pPr>
                    <w:pStyle w:val="56"/>
                  </w:pPr>
                  <w:r>
                    <w:rPr>
                      <w:rFonts w:hint="eastAsia"/>
                      <w:lang w:eastAsia="zh-CN"/>
                    </w:rPr>
                    <w:t>粪大肠菌群</w:t>
                  </w:r>
                </w:p>
              </w:tc>
              <w:tc>
                <w:tcPr>
                  <w:tcW w:w="968" w:type="pct"/>
                  <w:tcBorders>
                    <w:tl2br w:val="nil"/>
                    <w:tr2bl w:val="nil"/>
                  </w:tcBorders>
                  <w:vAlign w:val="center"/>
                </w:tcPr>
                <w:p>
                  <w:pPr>
                    <w:pStyle w:val="56"/>
                    <w:rPr>
                      <w:lang w:eastAsia="zh-CN"/>
                    </w:rPr>
                  </w:pPr>
                  <w:r>
                    <w:rPr>
                      <w:rFonts w:hint="eastAsia"/>
                      <w:lang w:eastAsia="zh-CN"/>
                    </w:rPr>
                    <w:t>1</w:t>
                  </w:r>
                  <w:r>
                    <w:rPr>
                      <w:lang w:eastAsia="zh-CN"/>
                    </w:rPr>
                    <w:t>000</w:t>
                  </w:r>
                </w:p>
              </w:tc>
              <w:tc>
                <w:tcPr>
                  <w:tcW w:w="968" w:type="pct"/>
                  <w:tcBorders>
                    <w:tl2br w:val="nil"/>
                    <w:tr2bl w:val="nil"/>
                  </w:tcBorders>
                  <w:vAlign w:val="center"/>
                </w:tcPr>
                <w:p>
                  <w:pPr>
                    <w:pStyle w:val="56"/>
                  </w:pPr>
                  <w:r>
                    <w:rPr>
                      <w:rFonts w:hint="eastAsia"/>
                      <w:lang w:eastAsia="zh-CN"/>
                    </w:rPr>
                    <w:t>1</w:t>
                  </w:r>
                  <w:r>
                    <w:rPr>
                      <w:lang w:eastAsia="zh-CN"/>
                    </w:rPr>
                    <w:t>0</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2</w:t>
                  </w:r>
                </w:p>
              </w:tc>
              <w:tc>
                <w:tcPr>
                  <w:tcW w:w="1573" w:type="pct"/>
                  <w:tcBorders>
                    <w:tl2br w:val="nil"/>
                    <w:tr2bl w:val="nil"/>
                  </w:tcBorders>
                  <w:vAlign w:val="center"/>
                </w:tcPr>
                <w:p>
                  <w:pPr>
                    <w:pStyle w:val="56"/>
                    <w:rPr>
                      <w:lang w:eastAsia="zh-CN"/>
                    </w:rPr>
                  </w:pPr>
                  <w:r>
                    <w:rPr>
                      <w:rFonts w:hint="eastAsia"/>
                      <w:lang w:eastAsia="zh-CN"/>
                    </w:rPr>
                    <w:t>铅</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0</w:t>
                  </w:r>
                  <w:r>
                    <w:rPr>
                      <w:lang w:eastAsia="zh-CN"/>
                    </w:rPr>
                    <w:t>.</w:t>
                  </w:r>
                  <w:r>
                    <w:rPr>
                      <w:rFonts w:hint="eastAsia"/>
                    </w:rPr>
                    <w:t>1</w:t>
                  </w:r>
                </w:p>
              </w:tc>
              <w:tc>
                <w:tcPr>
                  <w:tcW w:w="968" w:type="pct"/>
                  <w:tcBorders>
                    <w:tl2br w:val="nil"/>
                    <w:tr2bl w:val="nil"/>
                  </w:tcBorders>
                  <w:vAlign w:val="center"/>
                </w:tcPr>
                <w:p>
                  <w:pPr>
                    <w:pStyle w:val="56"/>
                  </w:pPr>
                  <w:r>
                    <w:rPr>
                      <w:rFonts w:hint="eastAsia"/>
                      <w:lang w:eastAsia="zh-CN"/>
                    </w:rPr>
                    <w:t>0</w:t>
                  </w:r>
                  <w:r>
                    <w:rPr>
                      <w:lang w:eastAsia="zh-CN"/>
                    </w:rPr>
                    <w:t>.002</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3</w:t>
                  </w:r>
                </w:p>
              </w:tc>
              <w:tc>
                <w:tcPr>
                  <w:tcW w:w="1573" w:type="pct"/>
                  <w:tcBorders>
                    <w:tl2br w:val="nil"/>
                    <w:tr2bl w:val="nil"/>
                  </w:tcBorders>
                  <w:vAlign w:val="center"/>
                </w:tcPr>
                <w:p>
                  <w:pPr>
                    <w:pStyle w:val="56"/>
                  </w:pPr>
                  <w:r>
                    <w:rPr>
                      <w:rFonts w:hint="eastAsia"/>
                      <w:lang w:eastAsia="zh-CN"/>
                    </w:rPr>
                    <w:t>镉</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0</w:t>
                  </w:r>
                  <w:r>
                    <w:rPr>
                      <w:lang w:eastAsia="zh-CN"/>
                    </w:rPr>
                    <w:t>.01</w:t>
                  </w:r>
                </w:p>
              </w:tc>
              <w:tc>
                <w:tcPr>
                  <w:tcW w:w="968" w:type="pct"/>
                  <w:tcBorders>
                    <w:tl2br w:val="nil"/>
                    <w:tr2bl w:val="nil"/>
                  </w:tcBorders>
                  <w:vAlign w:val="center"/>
                </w:tcPr>
                <w:p>
                  <w:pPr>
                    <w:pStyle w:val="56"/>
                  </w:pPr>
                  <w:r>
                    <w:rPr>
                      <w:rFonts w:hint="eastAsia"/>
                      <w:lang w:eastAsia="zh-CN"/>
                    </w:rPr>
                    <w:t>0</w:t>
                  </w:r>
                  <w:r>
                    <w:rPr>
                      <w:lang w:eastAsia="zh-CN"/>
                    </w:rPr>
                    <w:t>.0001</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4</w:t>
                  </w:r>
                </w:p>
              </w:tc>
              <w:tc>
                <w:tcPr>
                  <w:tcW w:w="1573" w:type="pct"/>
                  <w:tcBorders>
                    <w:tl2br w:val="nil"/>
                    <w:tr2bl w:val="nil"/>
                  </w:tcBorders>
                  <w:vAlign w:val="center"/>
                </w:tcPr>
                <w:p>
                  <w:pPr>
                    <w:pStyle w:val="56"/>
                  </w:pPr>
                  <w:r>
                    <w:rPr>
                      <w:rFonts w:hint="eastAsia"/>
                      <w:lang w:eastAsia="zh-CN"/>
                    </w:rPr>
                    <w:t>砷</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0</w:t>
                  </w:r>
                  <w:r>
                    <w:rPr>
                      <w:lang w:eastAsia="zh-CN"/>
                    </w:rPr>
                    <w:t>.1</w:t>
                  </w:r>
                </w:p>
              </w:tc>
              <w:tc>
                <w:tcPr>
                  <w:tcW w:w="968" w:type="pct"/>
                  <w:tcBorders>
                    <w:tl2br w:val="nil"/>
                    <w:tr2bl w:val="nil"/>
                  </w:tcBorders>
                  <w:vAlign w:val="center"/>
                </w:tcPr>
                <w:p>
                  <w:pPr>
                    <w:pStyle w:val="56"/>
                  </w:pPr>
                  <w:r>
                    <w:rPr>
                      <w:rFonts w:hint="eastAsia"/>
                      <w:lang w:eastAsia="zh-CN"/>
                    </w:rPr>
                    <w:t>0</w:t>
                  </w:r>
                  <w:r>
                    <w:rPr>
                      <w:lang w:eastAsia="zh-CN"/>
                    </w:rPr>
                    <w:t>.0003</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5</w:t>
                  </w:r>
                </w:p>
              </w:tc>
              <w:tc>
                <w:tcPr>
                  <w:tcW w:w="1573" w:type="pct"/>
                  <w:tcBorders>
                    <w:tl2br w:val="nil"/>
                    <w:tr2bl w:val="nil"/>
                  </w:tcBorders>
                  <w:vAlign w:val="center"/>
                </w:tcPr>
                <w:p>
                  <w:pPr>
                    <w:pStyle w:val="56"/>
                  </w:pPr>
                  <w:r>
                    <w:rPr>
                      <w:rFonts w:hint="eastAsia"/>
                      <w:lang w:eastAsia="zh-CN"/>
                    </w:rPr>
                    <w:t>汞</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1</w:t>
                  </w:r>
                </w:p>
              </w:tc>
              <w:tc>
                <w:tcPr>
                  <w:tcW w:w="968" w:type="pct"/>
                  <w:tcBorders>
                    <w:tl2br w:val="nil"/>
                    <w:tr2bl w:val="nil"/>
                  </w:tcBorders>
                  <w:vAlign w:val="center"/>
                </w:tcPr>
                <w:p>
                  <w:pPr>
                    <w:pStyle w:val="56"/>
                  </w:pPr>
                  <w:r>
                    <w:rPr>
                      <w:rFonts w:hint="eastAsia"/>
                      <w:lang w:eastAsia="zh-CN"/>
                    </w:rPr>
                    <w:t>0</w:t>
                  </w:r>
                  <w:r>
                    <w:rPr>
                      <w:lang w:eastAsia="zh-CN"/>
                    </w:rPr>
                    <w:t>.00004</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6</w:t>
                  </w:r>
                </w:p>
              </w:tc>
              <w:tc>
                <w:tcPr>
                  <w:tcW w:w="1573" w:type="pct"/>
                  <w:tcBorders>
                    <w:tl2br w:val="nil"/>
                    <w:tr2bl w:val="nil"/>
                  </w:tcBorders>
                  <w:vAlign w:val="center"/>
                </w:tcPr>
                <w:p>
                  <w:pPr>
                    <w:pStyle w:val="56"/>
                  </w:pPr>
                  <w:r>
                    <w:rPr>
                      <w:rFonts w:hint="eastAsia"/>
                      <w:lang w:eastAsia="zh-CN"/>
                    </w:rPr>
                    <w:t>石油类</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1</w:t>
                  </w:r>
                </w:p>
              </w:tc>
              <w:tc>
                <w:tcPr>
                  <w:tcW w:w="968" w:type="pct"/>
                  <w:tcBorders>
                    <w:tl2br w:val="nil"/>
                    <w:tr2bl w:val="nil"/>
                  </w:tcBorders>
                  <w:vAlign w:val="center"/>
                </w:tcPr>
                <w:p>
                  <w:pPr>
                    <w:pStyle w:val="56"/>
                  </w:pPr>
                  <w:r>
                    <w:rPr>
                      <w:rFonts w:hint="eastAsia"/>
                      <w:lang w:eastAsia="zh-CN"/>
                    </w:rPr>
                    <w:t>0</w:t>
                  </w:r>
                  <w:r>
                    <w:rPr>
                      <w:lang w:eastAsia="zh-CN"/>
                    </w:rPr>
                    <w:t>.06</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7</w:t>
                  </w:r>
                </w:p>
              </w:tc>
              <w:tc>
                <w:tcPr>
                  <w:tcW w:w="1573" w:type="pct"/>
                  <w:tcBorders>
                    <w:tl2br w:val="nil"/>
                    <w:tr2bl w:val="nil"/>
                  </w:tcBorders>
                  <w:vAlign w:val="center"/>
                </w:tcPr>
                <w:p>
                  <w:pPr>
                    <w:pStyle w:val="56"/>
                  </w:pPr>
                  <w:r>
                    <w:rPr>
                      <w:rFonts w:hint="eastAsia"/>
                      <w:lang w:eastAsia="zh-CN"/>
                    </w:rPr>
                    <w:t>色度（倍）</w:t>
                  </w:r>
                </w:p>
              </w:tc>
              <w:tc>
                <w:tcPr>
                  <w:tcW w:w="968" w:type="pct"/>
                  <w:tcBorders>
                    <w:tl2br w:val="nil"/>
                    <w:tr2bl w:val="nil"/>
                  </w:tcBorders>
                  <w:vAlign w:val="center"/>
                </w:tcPr>
                <w:p>
                  <w:pPr>
                    <w:pStyle w:val="56"/>
                    <w:rPr>
                      <w:lang w:eastAsia="zh-CN"/>
                    </w:rPr>
                  </w:pPr>
                  <w:r>
                    <w:rPr>
                      <w:rFonts w:hint="eastAsia"/>
                      <w:lang w:eastAsia="zh-CN"/>
                    </w:rPr>
                    <w:t>3</w:t>
                  </w:r>
                  <w:r>
                    <w:rPr>
                      <w:lang w:eastAsia="zh-CN"/>
                    </w:rPr>
                    <w:t>0</w:t>
                  </w:r>
                </w:p>
              </w:tc>
              <w:tc>
                <w:tcPr>
                  <w:tcW w:w="968" w:type="pct"/>
                  <w:tcBorders>
                    <w:tl2br w:val="nil"/>
                    <w:tr2bl w:val="nil"/>
                  </w:tcBorders>
                  <w:vAlign w:val="center"/>
                </w:tcPr>
                <w:p>
                  <w:pPr>
                    <w:pStyle w:val="56"/>
                  </w:pPr>
                  <w:r>
                    <w:rPr>
                      <w:rFonts w:hint="eastAsia"/>
                      <w:lang w:eastAsia="zh-CN"/>
                    </w:rPr>
                    <w:t>3</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8</w:t>
                  </w:r>
                </w:p>
              </w:tc>
              <w:tc>
                <w:tcPr>
                  <w:tcW w:w="1573" w:type="pct"/>
                  <w:tcBorders>
                    <w:tl2br w:val="nil"/>
                    <w:tr2bl w:val="nil"/>
                  </w:tcBorders>
                  <w:vAlign w:val="center"/>
                </w:tcPr>
                <w:p>
                  <w:pPr>
                    <w:pStyle w:val="56"/>
                    <w:rPr>
                      <w:lang w:eastAsia="zh-CN"/>
                    </w:rPr>
                  </w:pPr>
                  <w:r>
                    <w:rPr>
                      <w:rFonts w:hint="eastAsia"/>
                      <w:lang w:eastAsia="zh-CN"/>
                    </w:rPr>
                    <w:t>阴离子表面活性剂</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0</w:t>
                  </w:r>
                  <w:r>
                    <w:rPr>
                      <w:lang w:eastAsia="zh-CN"/>
                    </w:rPr>
                    <w:t>.5</w:t>
                  </w:r>
                </w:p>
              </w:tc>
              <w:tc>
                <w:tcPr>
                  <w:tcW w:w="968" w:type="pct"/>
                  <w:tcBorders>
                    <w:tl2br w:val="nil"/>
                    <w:tr2bl w:val="nil"/>
                  </w:tcBorders>
                  <w:vAlign w:val="center"/>
                </w:tcPr>
                <w:p>
                  <w:pPr>
                    <w:pStyle w:val="56"/>
                  </w:pPr>
                  <w:r>
                    <w:rPr>
                      <w:rFonts w:hint="eastAsia"/>
                      <w:lang w:eastAsia="zh-CN"/>
                    </w:rPr>
                    <w:t>0</w:t>
                  </w:r>
                  <w:r>
                    <w:rPr>
                      <w:lang w:eastAsia="zh-CN"/>
                    </w:rPr>
                    <w:t>.05</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0" w:hRule="atLeast"/>
                <w:jc w:val="center"/>
              </w:trPr>
              <w:tc>
                <w:tcPr>
                  <w:tcW w:w="521" w:type="pct"/>
                  <w:tcBorders>
                    <w:tl2br w:val="nil"/>
                    <w:tr2bl w:val="nil"/>
                  </w:tcBorders>
                  <w:vAlign w:val="center"/>
                </w:tcPr>
                <w:p>
                  <w:pPr>
                    <w:pStyle w:val="56"/>
                    <w:rPr>
                      <w:lang w:eastAsia="zh-CN"/>
                    </w:rPr>
                  </w:pPr>
                  <w:r>
                    <w:rPr>
                      <w:rFonts w:hint="eastAsia"/>
                      <w:lang w:eastAsia="zh-CN"/>
                    </w:rPr>
                    <w:t>1</w:t>
                  </w:r>
                  <w:r>
                    <w:rPr>
                      <w:lang w:eastAsia="zh-CN"/>
                    </w:rPr>
                    <w:t>9</w:t>
                  </w:r>
                </w:p>
              </w:tc>
              <w:tc>
                <w:tcPr>
                  <w:tcW w:w="1573" w:type="pct"/>
                  <w:tcBorders>
                    <w:tl2br w:val="nil"/>
                    <w:tr2bl w:val="nil"/>
                  </w:tcBorders>
                  <w:vAlign w:val="center"/>
                </w:tcPr>
                <w:p>
                  <w:pPr>
                    <w:pStyle w:val="56"/>
                    <w:rPr>
                      <w:lang w:eastAsia="zh-CN"/>
                    </w:rPr>
                  </w:pPr>
                  <w:r>
                    <w:rPr>
                      <w:rFonts w:hint="eastAsia"/>
                      <w:lang w:eastAsia="zh-CN"/>
                    </w:rPr>
                    <w:t>总氰化物</w:t>
                  </w:r>
                  <w:r>
                    <w:rPr>
                      <w:rFonts w:hint="eastAsia"/>
                    </w:rPr>
                    <w:t>（mg/L）</w:t>
                  </w:r>
                </w:p>
              </w:tc>
              <w:tc>
                <w:tcPr>
                  <w:tcW w:w="968" w:type="pct"/>
                  <w:tcBorders>
                    <w:tl2br w:val="nil"/>
                    <w:tr2bl w:val="nil"/>
                  </w:tcBorders>
                  <w:vAlign w:val="center"/>
                </w:tcPr>
                <w:p>
                  <w:pPr>
                    <w:pStyle w:val="56"/>
                    <w:rPr>
                      <w:lang w:eastAsia="zh-CN"/>
                    </w:rPr>
                  </w:pPr>
                  <w:r>
                    <w:rPr>
                      <w:rFonts w:hint="eastAsia"/>
                      <w:lang w:eastAsia="zh-CN"/>
                    </w:rPr>
                    <w:t>0</w:t>
                  </w:r>
                  <w:r>
                    <w:rPr>
                      <w:lang w:eastAsia="zh-CN"/>
                    </w:rPr>
                    <w:t>.4</w:t>
                  </w:r>
                </w:p>
              </w:tc>
              <w:tc>
                <w:tcPr>
                  <w:tcW w:w="968" w:type="pct"/>
                  <w:tcBorders>
                    <w:tl2br w:val="nil"/>
                    <w:tr2bl w:val="nil"/>
                  </w:tcBorders>
                  <w:vAlign w:val="center"/>
                </w:tcPr>
                <w:p>
                  <w:pPr>
                    <w:pStyle w:val="56"/>
                  </w:pPr>
                  <w:r>
                    <w:rPr>
                      <w:rFonts w:hint="eastAsia"/>
                      <w:lang w:eastAsia="zh-CN"/>
                    </w:rPr>
                    <w:t>0</w:t>
                  </w:r>
                  <w:r>
                    <w:rPr>
                      <w:lang w:eastAsia="zh-CN"/>
                    </w:rPr>
                    <w:t>.004</w:t>
                  </w:r>
                  <w:r>
                    <w:rPr>
                      <w:rFonts w:hint="eastAsia"/>
                      <w:lang w:eastAsia="zh-CN"/>
                    </w:rPr>
                    <w:t>L</w:t>
                  </w:r>
                </w:p>
              </w:tc>
              <w:tc>
                <w:tcPr>
                  <w:tcW w:w="969" w:type="pct"/>
                  <w:tcBorders>
                    <w:tl2br w:val="nil"/>
                    <w:tr2bl w:val="nil"/>
                  </w:tcBorders>
                  <w:vAlign w:val="center"/>
                </w:tcPr>
                <w:p>
                  <w:pPr>
                    <w:pStyle w:val="56"/>
                  </w:pPr>
                  <w:r>
                    <w:rPr>
                      <w:rFonts w:hint="eastAsia"/>
                      <w:lang w:eastAsia="zh-CN"/>
                    </w:rPr>
                    <w:t>是</w:t>
                  </w:r>
                </w:p>
              </w:tc>
            </w:tr>
          </w:tbl>
          <w:p>
            <w:pPr>
              <w:pStyle w:val="56"/>
            </w:pPr>
          </w:p>
          <w:p>
            <w:pPr>
              <w:ind w:firstLine="480"/>
              <w:rPr>
                <w:lang w:val="zh-CN" w:eastAsia="zh-CN"/>
              </w:rPr>
            </w:pPr>
            <w:r>
              <w:rPr>
                <w:rFonts w:hint="eastAsia"/>
                <w:lang w:val="zh-CN"/>
              </w:rPr>
              <w:t>综上所述，茂名高新技术产业开发区污水处理厂</w:t>
            </w:r>
            <w:r>
              <w:rPr>
                <w:rFonts w:hint="eastAsia" w:ascii="宋体" w:hAnsi="宋体" w:cs="宋体"/>
              </w:rPr>
              <w:t>废水总排放口水污染物监测结果均符合《城镇污水处理厂污染物排放标准》</w:t>
            </w:r>
            <w:r>
              <w:t>（GB18918-2002）一级A标准与《水污染物排放限值》（DB44/26-2001）</w:t>
            </w:r>
            <w:r>
              <w:rPr>
                <w:rFonts w:hint="eastAsia" w:ascii="宋体" w:hAnsi="宋体" w:cs="宋体"/>
              </w:rPr>
              <w:t>的较严值。</w:t>
            </w:r>
          </w:p>
          <w:p>
            <w:pPr>
              <w:ind w:firstLine="480"/>
              <w:rPr>
                <w:lang w:val="zh-CN"/>
              </w:rPr>
            </w:pPr>
            <w:r>
              <w:rPr>
                <w:rFonts w:hint="eastAsia"/>
                <w:lang w:val="zh-CN"/>
              </w:rPr>
              <w:t>本项目尾水水质与茂名高新技术产业开发区污水处理厂设计进水标准对比见下表。由下表可知，本项目废水排放浓度符合茂名高新技术产业开发区污水处理厂进水标准。</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rPr>
                <w:rFonts w:hint="eastAsia"/>
              </w:rPr>
              <w:t>项目尾水与茂名高新技术产业开发区污水处理厂进水标准对比</w:t>
            </w:r>
          </w:p>
          <w:p>
            <w:pPr>
              <w:pStyle w:val="55"/>
              <w:jc w:val="right"/>
            </w:pPr>
            <w:r>
              <w:rPr>
                <w:rFonts w:hint="eastAsia"/>
              </w:rPr>
              <w:t>单位：mg/L</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1453"/>
              <w:gridCol w:w="1531"/>
              <w:gridCol w:w="1302"/>
              <w:gridCol w:w="1291"/>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133" w:type="pct"/>
                  <w:vAlign w:val="center"/>
                </w:tcPr>
                <w:p>
                  <w:pPr>
                    <w:pStyle w:val="56"/>
                  </w:pPr>
                  <w:r>
                    <w:rPr>
                      <w:rFonts w:hint="eastAsia"/>
                    </w:rPr>
                    <w:t>污染物</w:t>
                  </w:r>
                </w:p>
              </w:tc>
              <w:tc>
                <w:tcPr>
                  <w:tcW w:w="790" w:type="pct"/>
                  <w:vAlign w:val="center"/>
                </w:tcPr>
                <w:p>
                  <w:pPr>
                    <w:pStyle w:val="56"/>
                  </w:pPr>
                  <w:r>
                    <w:rPr>
                      <w:rFonts w:hint="eastAsia"/>
                    </w:rPr>
                    <w:t>CODcr</w:t>
                  </w:r>
                </w:p>
              </w:tc>
              <w:tc>
                <w:tcPr>
                  <w:tcW w:w="832" w:type="pct"/>
                  <w:vAlign w:val="center"/>
                </w:tcPr>
                <w:p>
                  <w:pPr>
                    <w:pStyle w:val="56"/>
                  </w:pPr>
                  <w:r>
                    <w:rPr>
                      <w:rFonts w:hint="eastAsia"/>
                    </w:rPr>
                    <w:t>BOD</w:t>
                  </w:r>
                  <w:r>
                    <w:rPr>
                      <w:vertAlign w:val="subscript"/>
                    </w:rPr>
                    <w:t>5</w:t>
                  </w:r>
                </w:p>
              </w:tc>
              <w:tc>
                <w:tcPr>
                  <w:tcW w:w="708" w:type="pct"/>
                  <w:vAlign w:val="center"/>
                </w:tcPr>
                <w:p>
                  <w:pPr>
                    <w:pStyle w:val="56"/>
                  </w:pPr>
                  <w:r>
                    <w:rPr>
                      <w:rFonts w:hint="eastAsia"/>
                    </w:rPr>
                    <w:t>氨氮</w:t>
                  </w:r>
                </w:p>
              </w:tc>
              <w:tc>
                <w:tcPr>
                  <w:tcW w:w="702" w:type="pct"/>
                  <w:vAlign w:val="center"/>
                </w:tcPr>
                <w:p>
                  <w:pPr>
                    <w:pStyle w:val="56"/>
                  </w:pPr>
                  <w:r>
                    <w:rPr>
                      <w:rFonts w:hint="eastAsia"/>
                    </w:rPr>
                    <w:t>SS</w:t>
                  </w:r>
                </w:p>
              </w:tc>
              <w:tc>
                <w:tcPr>
                  <w:tcW w:w="836" w:type="pct"/>
                  <w:vAlign w:val="center"/>
                </w:tcPr>
                <w:p>
                  <w:pPr>
                    <w:pStyle w:val="56"/>
                  </w:pPr>
                  <w:r>
                    <w:rPr>
                      <w:rFonts w:hint="eastAsia"/>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33" w:type="pct"/>
                  <w:vAlign w:val="center"/>
                </w:tcPr>
                <w:p>
                  <w:pPr>
                    <w:pStyle w:val="56"/>
                  </w:pPr>
                  <w:r>
                    <w:rPr>
                      <w:rFonts w:hint="eastAsia"/>
                      <w:lang w:eastAsia="zh-CN"/>
                    </w:rPr>
                    <w:t>茂名高新技术产业开发区污水处理厂</w:t>
                  </w:r>
                  <w:r>
                    <w:rPr>
                      <w:rFonts w:hint="eastAsia"/>
                    </w:rPr>
                    <w:t>进水水质</w:t>
                  </w:r>
                </w:p>
              </w:tc>
              <w:tc>
                <w:tcPr>
                  <w:tcW w:w="790" w:type="pct"/>
                  <w:vAlign w:val="center"/>
                </w:tcPr>
                <w:p>
                  <w:pPr>
                    <w:pStyle w:val="56"/>
                    <w:rPr>
                      <w:lang w:eastAsia="zh-CN"/>
                    </w:rPr>
                  </w:pPr>
                  <w:r>
                    <w:rPr>
                      <w:rFonts w:hint="eastAsia"/>
                      <w:lang w:eastAsia="zh-CN"/>
                    </w:rPr>
                    <w:t>3</w:t>
                  </w:r>
                  <w:r>
                    <w:rPr>
                      <w:lang w:eastAsia="zh-CN"/>
                    </w:rPr>
                    <w:t>60</w:t>
                  </w:r>
                </w:p>
              </w:tc>
              <w:tc>
                <w:tcPr>
                  <w:tcW w:w="832" w:type="pct"/>
                  <w:vAlign w:val="center"/>
                </w:tcPr>
                <w:p>
                  <w:pPr>
                    <w:pStyle w:val="56"/>
                    <w:rPr>
                      <w:lang w:eastAsia="zh-CN"/>
                    </w:rPr>
                  </w:pPr>
                  <w:r>
                    <w:rPr>
                      <w:rFonts w:hint="eastAsia"/>
                      <w:lang w:eastAsia="zh-CN"/>
                    </w:rPr>
                    <w:t>2</w:t>
                  </w:r>
                  <w:r>
                    <w:rPr>
                      <w:lang w:eastAsia="zh-CN"/>
                    </w:rPr>
                    <w:t>50</w:t>
                  </w:r>
                </w:p>
              </w:tc>
              <w:tc>
                <w:tcPr>
                  <w:tcW w:w="708" w:type="pct"/>
                  <w:vAlign w:val="center"/>
                </w:tcPr>
                <w:p>
                  <w:pPr>
                    <w:pStyle w:val="56"/>
                    <w:rPr>
                      <w:lang w:eastAsia="zh-CN"/>
                    </w:rPr>
                  </w:pPr>
                  <w:r>
                    <w:rPr>
                      <w:rFonts w:hint="eastAsia"/>
                      <w:lang w:eastAsia="zh-CN"/>
                    </w:rPr>
                    <w:t>2</w:t>
                  </w:r>
                  <w:r>
                    <w:rPr>
                      <w:lang w:eastAsia="zh-CN"/>
                    </w:rPr>
                    <w:t>60</w:t>
                  </w:r>
                </w:p>
              </w:tc>
              <w:tc>
                <w:tcPr>
                  <w:tcW w:w="702" w:type="pct"/>
                  <w:vAlign w:val="center"/>
                </w:tcPr>
                <w:p>
                  <w:pPr>
                    <w:pStyle w:val="56"/>
                    <w:rPr>
                      <w:lang w:eastAsia="zh-CN"/>
                    </w:rPr>
                  </w:pPr>
                  <w:r>
                    <w:rPr>
                      <w:rFonts w:hint="eastAsia"/>
                      <w:lang w:eastAsia="zh-CN"/>
                    </w:rPr>
                    <w:t>4</w:t>
                  </w:r>
                  <w:r>
                    <w:rPr>
                      <w:lang w:eastAsia="zh-CN"/>
                    </w:rPr>
                    <w:t>5</w:t>
                  </w:r>
                </w:p>
              </w:tc>
              <w:tc>
                <w:tcPr>
                  <w:tcW w:w="836" w:type="pct"/>
                  <w:vAlign w:val="center"/>
                </w:tcPr>
                <w:p>
                  <w:pPr>
                    <w:pStyle w:val="5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33" w:type="pct"/>
                  <w:vAlign w:val="center"/>
                </w:tcPr>
                <w:p>
                  <w:pPr>
                    <w:pStyle w:val="56"/>
                  </w:pPr>
                  <w:r>
                    <w:rPr>
                      <w:rFonts w:hint="eastAsia"/>
                    </w:rPr>
                    <w:t>项目尾水排放水质</w:t>
                  </w:r>
                </w:p>
              </w:tc>
              <w:tc>
                <w:tcPr>
                  <w:tcW w:w="790" w:type="pct"/>
                  <w:vAlign w:val="center"/>
                </w:tcPr>
                <w:p>
                  <w:pPr>
                    <w:pStyle w:val="56"/>
                    <w:rPr>
                      <w:kern w:val="0"/>
                    </w:rPr>
                  </w:pPr>
                  <w:r>
                    <w:rPr>
                      <w:rFonts w:hint="eastAsia"/>
                    </w:rPr>
                    <w:t>144</w:t>
                  </w:r>
                </w:p>
              </w:tc>
              <w:tc>
                <w:tcPr>
                  <w:tcW w:w="832" w:type="pct"/>
                  <w:vAlign w:val="center"/>
                </w:tcPr>
                <w:p>
                  <w:pPr>
                    <w:pStyle w:val="56"/>
                  </w:pPr>
                  <w:r>
                    <w:rPr>
                      <w:rFonts w:hint="eastAsia"/>
                    </w:rPr>
                    <w:t>60</w:t>
                  </w:r>
                </w:p>
              </w:tc>
              <w:tc>
                <w:tcPr>
                  <w:tcW w:w="708" w:type="pct"/>
                  <w:vAlign w:val="center"/>
                </w:tcPr>
                <w:p>
                  <w:pPr>
                    <w:pStyle w:val="56"/>
                  </w:pPr>
                  <w:r>
                    <w:rPr>
                      <w:rFonts w:hint="eastAsia"/>
                    </w:rPr>
                    <w:t>12.6</w:t>
                  </w:r>
                </w:p>
              </w:tc>
              <w:tc>
                <w:tcPr>
                  <w:tcW w:w="702" w:type="pct"/>
                  <w:vAlign w:val="center"/>
                </w:tcPr>
                <w:p>
                  <w:pPr>
                    <w:pStyle w:val="56"/>
                  </w:pPr>
                  <w:r>
                    <w:rPr>
                      <w:rFonts w:hint="eastAsia"/>
                    </w:rPr>
                    <w:t>9.45</w:t>
                  </w:r>
                </w:p>
              </w:tc>
              <w:tc>
                <w:tcPr>
                  <w:tcW w:w="836" w:type="pct"/>
                  <w:vAlign w:val="center"/>
                </w:tcPr>
                <w:p>
                  <w:pPr>
                    <w:pStyle w:val="56"/>
                  </w:pP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133" w:type="pct"/>
                  <w:vAlign w:val="center"/>
                </w:tcPr>
                <w:p>
                  <w:pPr>
                    <w:pStyle w:val="56"/>
                  </w:pPr>
                  <w:r>
                    <w:rPr>
                      <w:rFonts w:hint="eastAsia"/>
                    </w:rPr>
                    <w:t>是否符合</w:t>
                  </w:r>
                </w:p>
              </w:tc>
              <w:tc>
                <w:tcPr>
                  <w:tcW w:w="790" w:type="pct"/>
                  <w:vAlign w:val="center"/>
                </w:tcPr>
                <w:p>
                  <w:pPr>
                    <w:pStyle w:val="56"/>
                  </w:pPr>
                  <w:r>
                    <w:rPr>
                      <w:rFonts w:hint="eastAsia"/>
                    </w:rPr>
                    <w:t>符合</w:t>
                  </w:r>
                </w:p>
              </w:tc>
              <w:tc>
                <w:tcPr>
                  <w:tcW w:w="832" w:type="pct"/>
                  <w:vAlign w:val="center"/>
                </w:tcPr>
                <w:p>
                  <w:pPr>
                    <w:pStyle w:val="56"/>
                  </w:pPr>
                  <w:r>
                    <w:rPr>
                      <w:rFonts w:hint="eastAsia"/>
                    </w:rPr>
                    <w:t>符合</w:t>
                  </w:r>
                </w:p>
              </w:tc>
              <w:tc>
                <w:tcPr>
                  <w:tcW w:w="708" w:type="pct"/>
                  <w:vAlign w:val="center"/>
                </w:tcPr>
                <w:p>
                  <w:pPr>
                    <w:pStyle w:val="56"/>
                  </w:pPr>
                  <w:r>
                    <w:rPr>
                      <w:rFonts w:hint="eastAsia"/>
                    </w:rPr>
                    <w:t>符合</w:t>
                  </w:r>
                </w:p>
              </w:tc>
              <w:tc>
                <w:tcPr>
                  <w:tcW w:w="702" w:type="pct"/>
                  <w:vAlign w:val="center"/>
                </w:tcPr>
                <w:p>
                  <w:pPr>
                    <w:pStyle w:val="56"/>
                  </w:pPr>
                  <w:r>
                    <w:rPr>
                      <w:rFonts w:hint="eastAsia"/>
                    </w:rPr>
                    <w:t>符合</w:t>
                  </w:r>
                </w:p>
              </w:tc>
              <w:tc>
                <w:tcPr>
                  <w:tcW w:w="836" w:type="pct"/>
                  <w:vAlign w:val="center"/>
                </w:tcPr>
                <w:p>
                  <w:pPr>
                    <w:pStyle w:val="56"/>
                  </w:pPr>
                  <w:r>
                    <w:rPr>
                      <w:rFonts w:hint="eastAsia"/>
                    </w:rPr>
                    <w:t>符合</w:t>
                  </w:r>
                </w:p>
              </w:tc>
            </w:tr>
          </w:tbl>
          <w:p>
            <w:pPr>
              <w:pStyle w:val="56"/>
            </w:pPr>
          </w:p>
          <w:p>
            <w:pPr>
              <w:ind w:firstLine="480"/>
              <w:rPr>
                <w:lang w:val="zh-CN" w:eastAsia="zh-CN"/>
              </w:rPr>
            </w:pPr>
            <w:r>
              <w:rPr>
                <w:rFonts w:hint="eastAsia"/>
                <w:lang w:val="zh-CN" w:eastAsia="zh-CN"/>
              </w:rPr>
              <w:t>茂名市高新技术产业开发区水质净化厂设计处理能力为2万t/d（其中生活污水1.2万t/d，工业废水为8000t/d），并于2021年12月29日通过环保验收，现状运营稳定。茂名市高新技术产业开发区水质净化厂现状处理生活污水6484t/d（剩余处理能力</w:t>
            </w:r>
            <w:r>
              <w:rPr>
                <w:lang w:val="zh-CN" w:eastAsia="zh-CN"/>
              </w:rPr>
              <w:t>5</w:t>
            </w:r>
            <w:r>
              <w:rPr>
                <w:rFonts w:hint="eastAsia"/>
                <w:lang w:val="zh-CN" w:eastAsia="zh-CN"/>
              </w:rPr>
              <w:t>516t/d），工业废水486t/d（剩余处理能力7514t/d）。本项目综合废水产生量为</w:t>
            </w:r>
            <w:r>
              <w:rPr>
                <w:lang w:val="zh-CN"/>
              </w:rPr>
              <w:t>886.059</w:t>
            </w:r>
            <w:r>
              <w:rPr>
                <w:rFonts w:hint="eastAsia"/>
                <w:lang w:val="zh-CN"/>
              </w:rPr>
              <w:t>t/a（2</w:t>
            </w:r>
            <w:r>
              <w:rPr>
                <w:lang w:val="zh-CN"/>
              </w:rPr>
              <w:t>.51</w:t>
            </w:r>
            <w:r>
              <w:rPr>
                <w:rFonts w:hint="eastAsia"/>
                <w:lang w:val="zh-CN"/>
              </w:rPr>
              <w:t>t/d）</w:t>
            </w:r>
            <w:r>
              <w:rPr>
                <w:rFonts w:hint="eastAsia"/>
                <w:lang w:val="zh-CN" w:eastAsia="zh-CN"/>
              </w:rPr>
              <w:t>，占工业废水剩余处理能力的0.</w:t>
            </w:r>
            <w:r>
              <w:rPr>
                <w:lang w:val="zh-CN" w:eastAsia="zh-CN"/>
              </w:rPr>
              <w:t>033</w:t>
            </w:r>
            <w:r>
              <w:rPr>
                <w:rFonts w:hint="eastAsia"/>
                <w:lang w:val="zh-CN" w:eastAsia="zh-CN"/>
              </w:rPr>
              <w:t>%，能够满足水量接纳要求。</w:t>
            </w:r>
          </w:p>
          <w:p>
            <w:pPr>
              <w:ind w:firstLine="480"/>
              <w:rPr>
                <w:lang w:val="zh-CN" w:eastAsia="zh-CN"/>
              </w:rPr>
            </w:pPr>
            <w:r>
              <w:rPr>
                <w:rFonts w:hint="eastAsia"/>
                <w:lang w:val="zh-CN" w:eastAsia="zh-CN"/>
              </w:rPr>
              <w:t>因此，</w:t>
            </w:r>
            <w:r>
              <w:rPr>
                <w:rFonts w:hint="eastAsia"/>
                <w:lang w:val="zh-CN"/>
              </w:rPr>
              <w:t>经处理后的</w:t>
            </w:r>
            <w:r>
              <w:rPr>
                <w:rFonts w:hint="eastAsia"/>
                <w:lang w:val="zh-CN" w:eastAsia="zh-CN"/>
              </w:rPr>
              <w:t>综合废水依托茂名市高新技术产业开发区水质净化厂是可行的</w:t>
            </w:r>
            <w:r>
              <w:rPr>
                <w:rFonts w:hint="eastAsia"/>
                <w:lang w:val="zh-CN"/>
              </w:rPr>
              <w:t>。</w:t>
            </w:r>
          </w:p>
          <w:p>
            <w:pPr>
              <w:pStyle w:val="5"/>
            </w:pPr>
            <w:r>
              <w:rPr>
                <w:rFonts w:hint="eastAsia"/>
              </w:rPr>
              <w:t>废水监测计划</w:t>
            </w:r>
          </w:p>
          <w:p>
            <w:pPr>
              <w:pStyle w:val="304"/>
              <w:ind w:firstLine="480"/>
            </w:pPr>
            <w:r>
              <w:t>根据《排污单位自行监测技术指南</w:t>
            </w:r>
            <w:r>
              <w:rPr>
                <w:rFonts w:hint="eastAsia"/>
              </w:rPr>
              <w:t xml:space="preserve"> </w:t>
            </w:r>
            <w:r>
              <w:t>总则》（HJ819-2017）</w:t>
            </w:r>
            <w:r>
              <w:rPr>
                <w:rFonts w:hint="eastAsia"/>
              </w:rPr>
              <w:t>及参照《排污许可证申请与核发技术规范 医疗机构》（HJ1105-2020）</w:t>
            </w:r>
            <w:r>
              <w:t>，废水监测计划见下表。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t>项目废水监测计划表</w:t>
            </w:r>
          </w:p>
          <w:tbl>
            <w:tblPr>
              <w:tblStyle w:val="3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2314"/>
              <w:gridCol w:w="1221"/>
              <w:gridCol w:w="4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Align w:val="center"/>
                </w:tcPr>
                <w:p>
                  <w:pPr>
                    <w:pStyle w:val="66"/>
                    <w:rPr>
                      <w:lang w:val="zh-CN"/>
                    </w:rPr>
                  </w:pPr>
                  <w:r>
                    <w:rPr>
                      <w:lang w:val="zh-CN"/>
                    </w:rPr>
                    <w:t>监测点位</w:t>
                  </w:r>
                </w:p>
              </w:tc>
              <w:tc>
                <w:tcPr>
                  <w:tcW w:w="1259" w:type="pct"/>
                  <w:vAlign w:val="center"/>
                </w:tcPr>
                <w:p>
                  <w:pPr>
                    <w:pStyle w:val="66"/>
                    <w:rPr>
                      <w:lang w:val="zh-CN"/>
                    </w:rPr>
                  </w:pPr>
                  <w:r>
                    <w:rPr>
                      <w:lang w:val="zh-CN"/>
                    </w:rPr>
                    <w:t>监测指标</w:t>
                  </w:r>
                </w:p>
              </w:tc>
              <w:tc>
                <w:tcPr>
                  <w:tcW w:w="664" w:type="pct"/>
                  <w:vAlign w:val="center"/>
                </w:tcPr>
                <w:p>
                  <w:pPr>
                    <w:pStyle w:val="66"/>
                    <w:rPr>
                      <w:lang w:val="zh-CN"/>
                    </w:rPr>
                  </w:pPr>
                  <w:r>
                    <w:rPr>
                      <w:lang w:val="zh-CN"/>
                    </w:rPr>
                    <w:t>监测频次</w:t>
                  </w:r>
                </w:p>
              </w:tc>
              <w:tc>
                <w:tcPr>
                  <w:tcW w:w="2251" w:type="pct"/>
                  <w:vAlign w:val="center"/>
                </w:tcPr>
                <w:p>
                  <w:pPr>
                    <w:pStyle w:val="66"/>
                    <w:rPr>
                      <w:lang w:val="zh-CN"/>
                    </w:rPr>
                  </w:pPr>
                  <w:r>
                    <w:rPr>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Merge w:val="restart"/>
                  <w:vAlign w:val="center"/>
                </w:tcPr>
                <w:p>
                  <w:pPr>
                    <w:pStyle w:val="66"/>
                  </w:pPr>
                  <w:r>
                    <w:rPr>
                      <w:rFonts w:hint="eastAsia"/>
                    </w:rPr>
                    <w:t>废水处理站排放口</w:t>
                  </w:r>
                </w:p>
              </w:tc>
              <w:tc>
                <w:tcPr>
                  <w:tcW w:w="1259" w:type="pct"/>
                  <w:vAlign w:val="center"/>
                </w:tcPr>
                <w:p>
                  <w:pPr>
                    <w:pStyle w:val="66"/>
                  </w:pPr>
                  <w:r>
                    <w:t>COD</w:t>
                  </w:r>
                  <w:r>
                    <w:rPr>
                      <w:vertAlign w:val="subscript"/>
                    </w:rPr>
                    <w:t>Cr</w:t>
                  </w:r>
                  <w:r>
                    <w:rPr>
                      <w:lang w:val="zh-CN"/>
                    </w:rPr>
                    <w:t>、</w:t>
                  </w:r>
                  <w:r>
                    <w:t>SS</w:t>
                  </w:r>
                </w:p>
              </w:tc>
              <w:tc>
                <w:tcPr>
                  <w:tcW w:w="664" w:type="pct"/>
                  <w:vAlign w:val="center"/>
                </w:tcPr>
                <w:p>
                  <w:pPr>
                    <w:pStyle w:val="66"/>
                  </w:pPr>
                  <w:r>
                    <w:rPr>
                      <w:rFonts w:hint="eastAsia"/>
                    </w:rPr>
                    <w:t>1次/周</w:t>
                  </w:r>
                </w:p>
              </w:tc>
              <w:tc>
                <w:tcPr>
                  <w:tcW w:w="2251" w:type="pct"/>
                  <w:vMerge w:val="restart"/>
                  <w:vAlign w:val="center"/>
                </w:tcPr>
                <w:p>
                  <w:pPr>
                    <w:pStyle w:val="66"/>
                    <w:rPr>
                      <w:lang w:val="zh-CN"/>
                    </w:rPr>
                  </w:pPr>
                  <w:r>
                    <w:rPr>
                      <w:rFonts w:hint="eastAsia"/>
                      <w:lang w:val="zh-CN"/>
                    </w:rPr>
                    <w:t>《医疗机构水污染物排放标准》</w:t>
                  </w:r>
                </w:p>
                <w:p>
                  <w:pPr>
                    <w:pStyle w:val="66"/>
                    <w:rPr>
                      <w:lang w:val="zh-CN"/>
                    </w:rPr>
                  </w:pPr>
                  <w:r>
                    <w:rPr>
                      <w:rFonts w:hint="eastAsia"/>
                      <w:lang w:val="zh-CN"/>
                    </w:rPr>
                    <w:t>（GB18466-2005）表</w:t>
                  </w:r>
                  <w:r>
                    <w:rPr>
                      <w:rFonts w:hint="eastAsia"/>
                    </w:rPr>
                    <w:t>2预处理</w:t>
                  </w:r>
                  <w:r>
                    <w:rPr>
                      <w:rFonts w:hint="eastAsia"/>
                      <w:lang w:val="zh-CN"/>
                    </w:rPr>
                    <w:t>标准</w:t>
                  </w:r>
                  <w:r>
                    <w:rPr>
                      <w:rFonts w:hint="eastAsia"/>
                    </w:rPr>
                    <w:t>和</w:t>
                  </w:r>
                  <w:r>
                    <w:rPr>
                      <w:rFonts w:hint="eastAsia"/>
                      <w:lang w:eastAsia="zh-CN"/>
                    </w:rPr>
                    <w:t>茂名高新技术产业开发区污水处理厂</w:t>
                  </w:r>
                  <w:r>
                    <w:rPr>
                      <w:rFonts w:hint="eastAsia"/>
                    </w:rPr>
                    <w:t>进水水质要求较严</w:t>
                  </w:r>
                  <w:r>
                    <w:rPr>
                      <w:rFonts w:hint="eastAsia"/>
                      <w:lang w:eastAsia="zh-CN"/>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26" w:type="pct"/>
                  <w:vMerge w:val="continue"/>
                  <w:vAlign w:val="center"/>
                </w:tcPr>
                <w:p>
                  <w:pPr>
                    <w:pStyle w:val="66"/>
                  </w:pPr>
                </w:p>
              </w:tc>
              <w:tc>
                <w:tcPr>
                  <w:tcW w:w="1259" w:type="pct"/>
                  <w:vAlign w:val="center"/>
                </w:tcPr>
                <w:p>
                  <w:pPr>
                    <w:pStyle w:val="66"/>
                  </w:pPr>
                  <w:r>
                    <w:t>BOD</w:t>
                  </w:r>
                  <w:r>
                    <w:rPr>
                      <w:vertAlign w:val="subscript"/>
                    </w:rPr>
                    <w:t>5</w:t>
                  </w:r>
                  <w:r>
                    <w:rPr>
                      <w:lang w:val="zh-CN"/>
                    </w:rPr>
                    <w:t>、</w:t>
                  </w:r>
                  <w:r>
                    <w:t>NH</w:t>
                  </w:r>
                  <w:r>
                    <w:rPr>
                      <w:vertAlign w:val="subscript"/>
                    </w:rPr>
                    <w:t>3</w:t>
                  </w:r>
                  <w:r>
                    <w:t>-N</w:t>
                  </w:r>
                </w:p>
              </w:tc>
              <w:tc>
                <w:tcPr>
                  <w:tcW w:w="664" w:type="pct"/>
                  <w:vAlign w:val="center"/>
                </w:tcPr>
                <w:p>
                  <w:pPr>
                    <w:pStyle w:val="66"/>
                  </w:pPr>
                  <w:r>
                    <w:rPr>
                      <w:rFonts w:hint="eastAsia"/>
                    </w:rPr>
                    <w:t>1次/季度</w:t>
                  </w:r>
                </w:p>
              </w:tc>
              <w:tc>
                <w:tcPr>
                  <w:tcW w:w="2251" w:type="pct"/>
                  <w:vMerge w:val="continue"/>
                  <w:vAlign w:val="center"/>
                </w:tcPr>
                <w:p>
                  <w:pPr>
                    <w:pStyle w:val="66"/>
                    <w:rPr>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26" w:type="pct"/>
                  <w:vMerge w:val="continue"/>
                  <w:vAlign w:val="center"/>
                </w:tcPr>
                <w:p>
                  <w:pPr>
                    <w:pStyle w:val="66"/>
                  </w:pPr>
                </w:p>
              </w:tc>
              <w:tc>
                <w:tcPr>
                  <w:tcW w:w="1259" w:type="pct"/>
                  <w:vAlign w:val="center"/>
                </w:tcPr>
                <w:p>
                  <w:pPr>
                    <w:pStyle w:val="66"/>
                  </w:pPr>
                  <w:r>
                    <w:rPr>
                      <w:rFonts w:hint="eastAsia"/>
                    </w:rPr>
                    <w:t>粪大肠菌群</w:t>
                  </w:r>
                </w:p>
              </w:tc>
              <w:tc>
                <w:tcPr>
                  <w:tcW w:w="664" w:type="pct"/>
                  <w:vAlign w:val="center"/>
                </w:tcPr>
                <w:p>
                  <w:pPr>
                    <w:pStyle w:val="66"/>
                  </w:pPr>
                  <w:r>
                    <w:rPr>
                      <w:rFonts w:hint="eastAsia"/>
                    </w:rPr>
                    <w:t>1次/月</w:t>
                  </w:r>
                </w:p>
              </w:tc>
              <w:tc>
                <w:tcPr>
                  <w:tcW w:w="2251" w:type="pct"/>
                  <w:vMerge w:val="continue"/>
                  <w:vAlign w:val="center"/>
                </w:tcPr>
                <w:p>
                  <w:pPr>
                    <w:pStyle w:val="66"/>
                    <w:rPr>
                      <w:lang w:val="zh-CN"/>
                    </w:rPr>
                  </w:pPr>
                </w:p>
              </w:tc>
            </w:tr>
          </w:tbl>
          <w:p>
            <w:pPr>
              <w:pStyle w:val="56"/>
            </w:pPr>
          </w:p>
          <w:p>
            <w:pPr>
              <w:pStyle w:val="5"/>
              <w:rPr>
                <w:lang w:eastAsia="zh-CN"/>
              </w:rPr>
            </w:pPr>
            <w:r>
              <w:rPr>
                <w:rFonts w:hint="eastAsia"/>
                <w:lang w:eastAsia="zh-CN"/>
              </w:rPr>
              <w:t>废水污染物排放信息</w:t>
            </w:r>
          </w:p>
          <w:p>
            <w:pPr>
              <w:ind w:firstLine="480"/>
              <w:rPr>
                <w:lang w:val="zh-CN"/>
              </w:rPr>
            </w:pPr>
            <w:r>
              <w:rPr>
                <w:rFonts w:hint="eastAsia"/>
                <w:lang w:val="zh-CN"/>
              </w:rPr>
              <w:t>本项目废水污染物排放信息见下表。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r>
              <w:rPr>
                <w:rFonts w:hint="eastAsia"/>
              </w:rPr>
              <w:t>废水类别、污染物及污染治理措施信息表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7"/>
              <w:gridCol w:w="1063"/>
              <w:gridCol w:w="736"/>
              <w:gridCol w:w="907"/>
              <w:gridCol w:w="728"/>
              <w:gridCol w:w="881"/>
              <w:gridCol w:w="734"/>
              <w:gridCol w:w="901"/>
              <w:gridCol w:w="819"/>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42" w:type="pct"/>
                  <w:vMerge w:val="restart"/>
                  <w:vAlign w:val="center"/>
                </w:tcPr>
                <w:p>
                  <w:pPr>
                    <w:pStyle w:val="66"/>
                  </w:pPr>
                  <w:r>
                    <w:t>废水类别</w:t>
                  </w:r>
                </w:p>
              </w:tc>
              <w:tc>
                <w:tcPr>
                  <w:tcW w:w="578" w:type="pct"/>
                  <w:vMerge w:val="restart"/>
                  <w:vAlign w:val="center"/>
                </w:tcPr>
                <w:p>
                  <w:pPr>
                    <w:pStyle w:val="66"/>
                  </w:pPr>
                  <w:r>
                    <w:t>污染物种类</w:t>
                  </w:r>
                </w:p>
              </w:tc>
              <w:tc>
                <w:tcPr>
                  <w:tcW w:w="400" w:type="pct"/>
                  <w:vMerge w:val="restart"/>
                  <w:vAlign w:val="center"/>
                </w:tcPr>
                <w:p>
                  <w:pPr>
                    <w:pStyle w:val="66"/>
                  </w:pPr>
                  <w:r>
                    <w:t>排放去向</w:t>
                  </w:r>
                </w:p>
              </w:tc>
              <w:tc>
                <w:tcPr>
                  <w:tcW w:w="493" w:type="pct"/>
                  <w:vMerge w:val="restart"/>
                  <w:vAlign w:val="center"/>
                </w:tcPr>
                <w:p>
                  <w:pPr>
                    <w:pStyle w:val="66"/>
                  </w:pPr>
                  <w:r>
                    <w:t>排放规律</w:t>
                  </w:r>
                </w:p>
              </w:tc>
              <w:tc>
                <w:tcPr>
                  <w:tcW w:w="1274" w:type="pct"/>
                  <w:gridSpan w:val="3"/>
                  <w:vAlign w:val="center"/>
                </w:tcPr>
                <w:p>
                  <w:pPr>
                    <w:pStyle w:val="66"/>
                  </w:pPr>
                  <w:r>
                    <w:t>污染治理设施</w:t>
                  </w:r>
                </w:p>
              </w:tc>
              <w:tc>
                <w:tcPr>
                  <w:tcW w:w="490" w:type="pct"/>
                  <w:vMerge w:val="restart"/>
                  <w:vAlign w:val="center"/>
                </w:tcPr>
                <w:p>
                  <w:pPr>
                    <w:pStyle w:val="66"/>
                  </w:pPr>
                  <w:r>
                    <w:t>排放口编号</w:t>
                  </w:r>
                </w:p>
              </w:tc>
              <w:tc>
                <w:tcPr>
                  <w:tcW w:w="445" w:type="pct"/>
                  <w:vMerge w:val="restart"/>
                  <w:vAlign w:val="center"/>
                </w:tcPr>
                <w:p>
                  <w:pPr>
                    <w:pStyle w:val="66"/>
                  </w:pPr>
                  <w:r>
                    <w:t>排放口设置是否符合要求</w:t>
                  </w:r>
                </w:p>
              </w:tc>
              <w:tc>
                <w:tcPr>
                  <w:tcW w:w="778" w:type="pct"/>
                  <w:vMerge w:val="restart"/>
                  <w:vAlign w:val="center"/>
                </w:tcPr>
                <w:p>
                  <w:pPr>
                    <w:pStyle w:val="66"/>
                  </w:pPr>
                  <w: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42" w:type="pct"/>
                  <w:vMerge w:val="continue"/>
                  <w:vAlign w:val="center"/>
                </w:tcPr>
                <w:p>
                  <w:pPr>
                    <w:pStyle w:val="66"/>
                  </w:pPr>
                </w:p>
              </w:tc>
              <w:tc>
                <w:tcPr>
                  <w:tcW w:w="578" w:type="pct"/>
                  <w:vMerge w:val="continue"/>
                  <w:vAlign w:val="center"/>
                </w:tcPr>
                <w:p>
                  <w:pPr>
                    <w:pStyle w:val="66"/>
                  </w:pPr>
                </w:p>
              </w:tc>
              <w:tc>
                <w:tcPr>
                  <w:tcW w:w="400" w:type="pct"/>
                  <w:vMerge w:val="continue"/>
                  <w:vAlign w:val="center"/>
                </w:tcPr>
                <w:p>
                  <w:pPr>
                    <w:pStyle w:val="66"/>
                  </w:pPr>
                </w:p>
              </w:tc>
              <w:tc>
                <w:tcPr>
                  <w:tcW w:w="493" w:type="pct"/>
                  <w:vMerge w:val="continue"/>
                  <w:vAlign w:val="center"/>
                </w:tcPr>
                <w:p>
                  <w:pPr>
                    <w:pStyle w:val="66"/>
                  </w:pPr>
                </w:p>
              </w:tc>
              <w:tc>
                <w:tcPr>
                  <w:tcW w:w="396" w:type="pct"/>
                  <w:vAlign w:val="center"/>
                </w:tcPr>
                <w:p>
                  <w:pPr>
                    <w:pStyle w:val="66"/>
                  </w:pPr>
                  <w:r>
                    <w:t>污染治理设施编号</w:t>
                  </w:r>
                </w:p>
              </w:tc>
              <w:tc>
                <w:tcPr>
                  <w:tcW w:w="479" w:type="pct"/>
                  <w:vAlign w:val="center"/>
                </w:tcPr>
                <w:p>
                  <w:pPr>
                    <w:pStyle w:val="66"/>
                  </w:pPr>
                  <w:r>
                    <w:t>污染治理设施名称</w:t>
                  </w:r>
                </w:p>
              </w:tc>
              <w:tc>
                <w:tcPr>
                  <w:tcW w:w="399" w:type="pct"/>
                  <w:vAlign w:val="center"/>
                </w:tcPr>
                <w:p>
                  <w:pPr>
                    <w:pStyle w:val="66"/>
                  </w:pPr>
                  <w:r>
                    <w:t>污染治理设施工艺</w:t>
                  </w:r>
                </w:p>
              </w:tc>
              <w:tc>
                <w:tcPr>
                  <w:tcW w:w="490" w:type="pct"/>
                  <w:vMerge w:val="continue"/>
                  <w:vAlign w:val="center"/>
                </w:tcPr>
                <w:p>
                  <w:pPr>
                    <w:pStyle w:val="66"/>
                  </w:pPr>
                </w:p>
              </w:tc>
              <w:tc>
                <w:tcPr>
                  <w:tcW w:w="445" w:type="pct"/>
                  <w:vMerge w:val="continue"/>
                  <w:vAlign w:val="center"/>
                </w:tcPr>
                <w:p>
                  <w:pPr>
                    <w:pStyle w:val="66"/>
                  </w:pPr>
                </w:p>
              </w:tc>
              <w:tc>
                <w:tcPr>
                  <w:tcW w:w="778" w:type="pct"/>
                  <w:vMerge w:val="continue"/>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1" w:hRule="atLeast"/>
                <w:jc w:val="center"/>
              </w:trPr>
              <w:tc>
                <w:tcPr>
                  <w:tcW w:w="542" w:type="pct"/>
                  <w:vAlign w:val="center"/>
                </w:tcPr>
                <w:p>
                  <w:pPr>
                    <w:pStyle w:val="66"/>
                  </w:pPr>
                  <w:r>
                    <w:rPr>
                      <w:rFonts w:hint="eastAsia"/>
                      <w:lang w:eastAsia="zh-CN"/>
                    </w:rPr>
                    <w:t>综合废水</w:t>
                  </w:r>
                </w:p>
              </w:tc>
              <w:tc>
                <w:tcPr>
                  <w:tcW w:w="578" w:type="pct"/>
                  <w:vAlign w:val="center"/>
                </w:tcPr>
                <w:p>
                  <w:pPr>
                    <w:pStyle w:val="66"/>
                  </w:pPr>
                  <w:r>
                    <w:t>COD</w:t>
                  </w:r>
                  <w:r>
                    <w:rPr>
                      <w:vertAlign w:val="subscript"/>
                    </w:rPr>
                    <w:t>Cr</w:t>
                  </w:r>
                  <w:r>
                    <w:t>、BOD</w:t>
                  </w:r>
                  <w:r>
                    <w:rPr>
                      <w:vertAlign w:val="subscript"/>
                    </w:rPr>
                    <w:t>5</w:t>
                  </w:r>
                  <w:r>
                    <w:t>、SS、氨氮</w:t>
                  </w:r>
                  <w:r>
                    <w:rPr>
                      <w:rFonts w:hint="eastAsia"/>
                    </w:rPr>
                    <w:t>、粪大肠</w:t>
                  </w:r>
                  <w:r>
                    <w:rPr>
                      <w:rFonts w:hint="eastAsia"/>
                      <w:lang w:eastAsia="zh-CN"/>
                    </w:rPr>
                    <w:t>杆菌</w:t>
                  </w:r>
                </w:p>
              </w:tc>
              <w:tc>
                <w:tcPr>
                  <w:tcW w:w="400" w:type="pct"/>
                  <w:vAlign w:val="center"/>
                </w:tcPr>
                <w:p>
                  <w:pPr>
                    <w:pStyle w:val="66"/>
                  </w:pPr>
                  <w:r>
                    <w:rPr>
                      <w:rFonts w:hint="eastAsia"/>
                      <w:lang w:eastAsia="zh-CN"/>
                    </w:rPr>
                    <w:t>茂名高新技术产业开发区污水处理厂</w:t>
                  </w:r>
                </w:p>
              </w:tc>
              <w:tc>
                <w:tcPr>
                  <w:tcW w:w="493" w:type="pct"/>
                  <w:vAlign w:val="center"/>
                </w:tcPr>
                <w:p>
                  <w:pPr>
                    <w:pStyle w:val="66"/>
                  </w:pPr>
                  <w:r>
                    <w:t>间断排放，排放期间流量不稳定且无规律，但不属于冲击型排放</w:t>
                  </w:r>
                </w:p>
              </w:tc>
              <w:tc>
                <w:tcPr>
                  <w:tcW w:w="396" w:type="pct"/>
                  <w:vAlign w:val="center"/>
                </w:tcPr>
                <w:p>
                  <w:pPr>
                    <w:pStyle w:val="66"/>
                  </w:pPr>
                  <w:r>
                    <w:t>/</w:t>
                  </w:r>
                </w:p>
              </w:tc>
              <w:tc>
                <w:tcPr>
                  <w:tcW w:w="479" w:type="pct"/>
                  <w:vAlign w:val="center"/>
                </w:tcPr>
                <w:p>
                  <w:pPr>
                    <w:pStyle w:val="66"/>
                  </w:pPr>
                  <w:r>
                    <w:rPr>
                      <w:rFonts w:hint="eastAsia"/>
                      <w:lang w:eastAsia="zh-CN"/>
                    </w:rPr>
                    <w:t>一体化污水处理设施（化学混凝）+臭氧消毒</w:t>
                  </w:r>
                </w:p>
              </w:tc>
              <w:tc>
                <w:tcPr>
                  <w:tcW w:w="399" w:type="pct"/>
                  <w:vAlign w:val="center"/>
                </w:tcPr>
                <w:p>
                  <w:pPr>
                    <w:pStyle w:val="66"/>
                  </w:pPr>
                  <w:r>
                    <w:t>/</w:t>
                  </w:r>
                </w:p>
              </w:tc>
              <w:tc>
                <w:tcPr>
                  <w:tcW w:w="490" w:type="pct"/>
                  <w:vAlign w:val="center"/>
                </w:tcPr>
                <w:p>
                  <w:pPr>
                    <w:pStyle w:val="66"/>
                  </w:pPr>
                  <w:r>
                    <w:t>DW001</w:t>
                  </w:r>
                </w:p>
              </w:tc>
              <w:tc>
                <w:tcPr>
                  <w:tcW w:w="445" w:type="pct"/>
                  <w:vAlign w:val="center"/>
                </w:tcPr>
                <w:p>
                  <w:pPr>
                    <w:pStyle w:val="66"/>
                  </w:pPr>
                  <w:r>
                    <w:t>√是</w:t>
                  </w:r>
                </w:p>
                <w:p>
                  <w:pPr>
                    <w:pStyle w:val="66"/>
                  </w:pPr>
                  <w:r>
                    <w:t>□否</w:t>
                  </w:r>
                </w:p>
              </w:tc>
              <w:tc>
                <w:tcPr>
                  <w:tcW w:w="778" w:type="pct"/>
                  <w:vAlign w:val="center"/>
                </w:tcPr>
                <w:p>
                  <w:pPr>
                    <w:pStyle w:val="66"/>
                  </w:pPr>
                  <w:r>
                    <w:t>√企业总排</w:t>
                  </w:r>
                </w:p>
                <w:p>
                  <w:pPr>
                    <w:pStyle w:val="66"/>
                  </w:pPr>
                  <w:r>
                    <w:t>□雨水排放</w:t>
                  </w:r>
                </w:p>
                <w:p>
                  <w:pPr>
                    <w:pStyle w:val="66"/>
                  </w:pPr>
                  <w:r>
                    <w:t>□清净下水排放</w:t>
                  </w:r>
                </w:p>
                <w:p>
                  <w:pPr>
                    <w:pStyle w:val="66"/>
                  </w:pPr>
                  <w:r>
                    <w:t>□温排水排放</w:t>
                  </w:r>
                </w:p>
                <w:p>
                  <w:pPr>
                    <w:pStyle w:val="66"/>
                  </w:pPr>
                  <w:r>
                    <w:t>□车间或车间处理设施排放口</w:t>
                  </w:r>
                </w:p>
              </w:tc>
            </w:tr>
          </w:tbl>
          <w:p>
            <w:pPr>
              <w:pStyle w:val="56"/>
            </w:pP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7</w:t>
            </w:r>
            <w:r>
              <w:fldChar w:fldCharType="end"/>
            </w:r>
            <w:r>
              <w:rPr>
                <w:rFonts w:hint="eastAsia"/>
              </w:rPr>
              <w:t>本项目废水间接排放口基本情况表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151"/>
              <w:gridCol w:w="2054"/>
              <w:gridCol w:w="899"/>
              <w:gridCol w:w="426"/>
              <w:gridCol w:w="636"/>
              <w:gridCol w:w="426"/>
              <w:gridCol w:w="809"/>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94" w:type="pct"/>
                  <w:vMerge w:val="restart"/>
                  <w:vAlign w:val="center"/>
                </w:tcPr>
                <w:p>
                  <w:pPr>
                    <w:pStyle w:val="66"/>
                    <w:rPr>
                      <w:lang w:val="zh-CN"/>
                    </w:rPr>
                  </w:pPr>
                  <w:r>
                    <w:rPr>
                      <w:lang w:val="zh-CN"/>
                    </w:rPr>
                    <w:t>排放口编号</w:t>
                  </w:r>
                </w:p>
              </w:tc>
              <w:tc>
                <w:tcPr>
                  <w:tcW w:w="1638" w:type="pct"/>
                  <w:gridSpan w:val="2"/>
                  <w:vAlign w:val="center"/>
                </w:tcPr>
                <w:p>
                  <w:pPr>
                    <w:pStyle w:val="66"/>
                    <w:rPr>
                      <w:lang w:val="zh-CN"/>
                    </w:rPr>
                  </w:pPr>
                  <w:r>
                    <w:rPr>
                      <w:lang w:val="zh-CN"/>
                    </w:rPr>
                    <w:t>排放口地理坐标</w:t>
                  </w:r>
                </w:p>
              </w:tc>
              <w:tc>
                <w:tcPr>
                  <w:tcW w:w="606" w:type="pct"/>
                  <w:vMerge w:val="restart"/>
                  <w:vAlign w:val="center"/>
                </w:tcPr>
                <w:p>
                  <w:pPr>
                    <w:pStyle w:val="66"/>
                    <w:rPr>
                      <w:lang w:val="zh-CN"/>
                    </w:rPr>
                  </w:pPr>
                  <w:r>
                    <w:rPr>
                      <w:lang w:val="zh-CN"/>
                    </w:rPr>
                    <w:t>排放量</w:t>
                  </w:r>
                </w:p>
                <w:p>
                  <w:pPr>
                    <w:pStyle w:val="66"/>
                    <w:rPr>
                      <w:lang w:val="zh-CN"/>
                    </w:rPr>
                  </w:pPr>
                  <w:r>
                    <w:rPr>
                      <w:rFonts w:hint="eastAsia"/>
                      <w:lang w:val="zh-CN" w:eastAsia="zh-CN"/>
                    </w:rPr>
                    <w:t>(</w:t>
                  </w:r>
                  <w:r>
                    <w:rPr>
                      <w:lang w:val="zh-CN"/>
                    </w:rPr>
                    <w:t>t/a)</w:t>
                  </w:r>
                </w:p>
              </w:tc>
              <w:tc>
                <w:tcPr>
                  <w:tcW w:w="287" w:type="pct"/>
                  <w:vMerge w:val="restart"/>
                  <w:vAlign w:val="center"/>
                </w:tcPr>
                <w:p>
                  <w:pPr>
                    <w:pStyle w:val="66"/>
                    <w:rPr>
                      <w:lang w:val="zh-CN"/>
                    </w:rPr>
                  </w:pPr>
                  <w:r>
                    <w:rPr>
                      <w:lang w:val="zh-CN"/>
                    </w:rPr>
                    <w:t>排放去向</w:t>
                  </w:r>
                </w:p>
              </w:tc>
              <w:tc>
                <w:tcPr>
                  <w:tcW w:w="429" w:type="pct"/>
                  <w:vMerge w:val="restart"/>
                  <w:vAlign w:val="center"/>
                </w:tcPr>
                <w:p>
                  <w:pPr>
                    <w:pStyle w:val="66"/>
                    <w:rPr>
                      <w:lang w:val="zh-CN"/>
                    </w:rPr>
                  </w:pPr>
                  <w:r>
                    <w:rPr>
                      <w:lang w:val="zh-CN"/>
                    </w:rPr>
                    <w:t>排放规律</w:t>
                  </w:r>
                </w:p>
              </w:tc>
              <w:tc>
                <w:tcPr>
                  <w:tcW w:w="1445" w:type="pct"/>
                  <w:gridSpan w:val="3"/>
                  <w:vAlign w:val="center"/>
                </w:tcPr>
                <w:p>
                  <w:pPr>
                    <w:pStyle w:val="66"/>
                    <w:rPr>
                      <w:lang w:val="zh-CN"/>
                    </w:rPr>
                  </w:pPr>
                  <w:r>
                    <w:rPr>
                      <w:lang w:val="zh-CN"/>
                    </w:rPr>
                    <w:t>受纳</w:t>
                  </w:r>
                  <w:r>
                    <w:rPr>
                      <w:rFonts w:hint="eastAsia"/>
                      <w:lang w:val="zh-CN"/>
                    </w:rPr>
                    <w:t>污水处理厂</w:t>
                  </w:r>
                  <w:r>
                    <w:rPr>
                      <w:lang w:val="zh-CN"/>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4" w:type="pct"/>
                  <w:vMerge w:val="continue"/>
                  <w:vAlign w:val="center"/>
                </w:tcPr>
                <w:p>
                  <w:pPr>
                    <w:pStyle w:val="66"/>
                    <w:rPr>
                      <w:lang w:val="zh-CN"/>
                    </w:rPr>
                  </w:pPr>
                </w:p>
              </w:tc>
              <w:tc>
                <w:tcPr>
                  <w:tcW w:w="819" w:type="pct"/>
                  <w:vAlign w:val="center"/>
                </w:tcPr>
                <w:p>
                  <w:pPr>
                    <w:pStyle w:val="66"/>
                    <w:rPr>
                      <w:lang w:val="zh-CN"/>
                    </w:rPr>
                  </w:pPr>
                  <w:r>
                    <w:rPr>
                      <w:lang w:val="zh-CN"/>
                    </w:rPr>
                    <w:t>经度</w:t>
                  </w:r>
                </w:p>
              </w:tc>
              <w:tc>
                <w:tcPr>
                  <w:tcW w:w="819" w:type="pct"/>
                  <w:vAlign w:val="center"/>
                </w:tcPr>
                <w:p>
                  <w:pPr>
                    <w:pStyle w:val="66"/>
                    <w:rPr>
                      <w:lang w:val="zh-CN"/>
                    </w:rPr>
                  </w:pPr>
                  <w:r>
                    <w:rPr>
                      <w:lang w:val="zh-CN"/>
                    </w:rPr>
                    <w:t>纬度</w:t>
                  </w:r>
                </w:p>
              </w:tc>
              <w:tc>
                <w:tcPr>
                  <w:tcW w:w="606" w:type="pct"/>
                  <w:vMerge w:val="continue"/>
                  <w:vAlign w:val="center"/>
                </w:tcPr>
                <w:p>
                  <w:pPr>
                    <w:pStyle w:val="66"/>
                    <w:rPr>
                      <w:lang w:val="zh-CN"/>
                    </w:rPr>
                  </w:pPr>
                </w:p>
              </w:tc>
              <w:tc>
                <w:tcPr>
                  <w:tcW w:w="287" w:type="pct"/>
                  <w:vMerge w:val="continue"/>
                  <w:vAlign w:val="center"/>
                </w:tcPr>
                <w:p>
                  <w:pPr>
                    <w:pStyle w:val="66"/>
                    <w:rPr>
                      <w:lang w:val="zh-CN"/>
                    </w:rPr>
                  </w:pPr>
                </w:p>
              </w:tc>
              <w:tc>
                <w:tcPr>
                  <w:tcW w:w="429" w:type="pct"/>
                  <w:vMerge w:val="continue"/>
                  <w:vAlign w:val="center"/>
                </w:tcPr>
                <w:p>
                  <w:pPr>
                    <w:pStyle w:val="66"/>
                    <w:rPr>
                      <w:lang w:val="zh-CN"/>
                    </w:rPr>
                  </w:pPr>
                </w:p>
              </w:tc>
              <w:tc>
                <w:tcPr>
                  <w:tcW w:w="287" w:type="pct"/>
                  <w:vAlign w:val="center"/>
                </w:tcPr>
                <w:p>
                  <w:pPr>
                    <w:pStyle w:val="66"/>
                    <w:rPr>
                      <w:lang w:val="zh-CN"/>
                    </w:rPr>
                  </w:pPr>
                  <w:r>
                    <w:rPr>
                      <w:lang w:val="zh-CN"/>
                    </w:rPr>
                    <w:t>名称</w:t>
                  </w:r>
                </w:p>
              </w:tc>
              <w:tc>
                <w:tcPr>
                  <w:tcW w:w="540" w:type="pct"/>
                  <w:vAlign w:val="center"/>
                </w:tcPr>
                <w:p>
                  <w:pPr>
                    <w:pStyle w:val="66"/>
                    <w:rPr>
                      <w:lang w:val="zh-CN"/>
                    </w:rPr>
                  </w:pPr>
                  <w:r>
                    <w:rPr>
                      <w:lang w:val="zh-CN"/>
                    </w:rPr>
                    <w:t>污染物</w:t>
                  </w:r>
                </w:p>
              </w:tc>
              <w:tc>
                <w:tcPr>
                  <w:tcW w:w="618" w:type="pct"/>
                  <w:vAlign w:val="center"/>
                </w:tcPr>
                <w:p>
                  <w:pPr>
                    <w:pStyle w:val="66"/>
                    <w:rPr>
                      <w:lang w:val="zh-CN"/>
                    </w:rPr>
                  </w:pPr>
                  <w:r>
                    <w:rPr>
                      <w:lang w:val="zh-CN"/>
                    </w:rPr>
                    <w:t>排放标准</w:t>
                  </w:r>
                  <w:r>
                    <w:rPr>
                      <w:rFonts w:hint="eastAsia"/>
                      <w:lang w:val="zh-CN" w:eastAsia="zh-CN"/>
                    </w:rPr>
                    <w:t>(</w:t>
                  </w:r>
                  <w:r>
                    <w:rPr>
                      <w:lang w:val="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94" w:type="pct"/>
                  <w:vMerge w:val="restart"/>
                  <w:vAlign w:val="center"/>
                </w:tcPr>
                <w:p>
                  <w:pPr>
                    <w:pStyle w:val="66"/>
                  </w:pPr>
                  <w:r>
                    <w:t>DW001</w:t>
                  </w:r>
                </w:p>
              </w:tc>
              <w:tc>
                <w:tcPr>
                  <w:tcW w:w="819" w:type="pct"/>
                  <w:vMerge w:val="restart"/>
                  <w:vAlign w:val="center"/>
                </w:tcPr>
                <w:p>
                  <w:pPr>
                    <w:pStyle w:val="66"/>
                    <w:rPr>
                      <w:lang w:val="zh-CN"/>
                    </w:rPr>
                  </w:pPr>
                  <w:r>
                    <w:rPr>
                      <w:rFonts w:hint="eastAsia"/>
                      <w:lang w:val="zh-CN"/>
                    </w:rPr>
                    <w:t>110°57′48.86967″</w:t>
                  </w:r>
                </w:p>
              </w:tc>
              <w:tc>
                <w:tcPr>
                  <w:tcW w:w="819" w:type="pct"/>
                  <w:vMerge w:val="restart"/>
                  <w:vAlign w:val="center"/>
                </w:tcPr>
                <w:p>
                  <w:pPr>
                    <w:pStyle w:val="66"/>
                    <w:rPr>
                      <w:lang w:val="zh-CN"/>
                    </w:rPr>
                  </w:pPr>
                  <w:r>
                    <w:rPr>
                      <w:rFonts w:hint="eastAsia"/>
                      <w:lang w:val="zh-CN"/>
                    </w:rPr>
                    <w:t>21°35′27.06586″</w:t>
                  </w:r>
                </w:p>
              </w:tc>
              <w:tc>
                <w:tcPr>
                  <w:tcW w:w="606" w:type="pct"/>
                  <w:vMerge w:val="restart"/>
                  <w:vAlign w:val="center"/>
                </w:tcPr>
                <w:p>
                  <w:pPr>
                    <w:pStyle w:val="66"/>
                    <w:rPr>
                      <w:lang w:eastAsia="zh-CN"/>
                    </w:rPr>
                  </w:pPr>
                  <w:r>
                    <w:rPr>
                      <w:rFonts w:hint="eastAsia"/>
                      <w:lang w:eastAsia="zh-CN"/>
                    </w:rPr>
                    <w:t>8</w:t>
                  </w:r>
                  <w:r>
                    <w:rPr>
                      <w:lang w:eastAsia="zh-CN"/>
                    </w:rPr>
                    <w:t>95.079</w:t>
                  </w:r>
                </w:p>
              </w:tc>
              <w:tc>
                <w:tcPr>
                  <w:tcW w:w="287" w:type="pct"/>
                  <w:vMerge w:val="restart"/>
                  <w:vAlign w:val="center"/>
                </w:tcPr>
                <w:p>
                  <w:pPr>
                    <w:pStyle w:val="66"/>
                  </w:pPr>
                  <w:r>
                    <w:rPr>
                      <w:rFonts w:hint="eastAsia"/>
                      <w:lang w:eastAsia="zh-CN"/>
                    </w:rPr>
                    <w:t>园区</w:t>
                  </w:r>
                  <w:r>
                    <w:rPr>
                      <w:rFonts w:hint="eastAsia"/>
                    </w:rPr>
                    <w:t>污水管网</w:t>
                  </w:r>
                </w:p>
              </w:tc>
              <w:tc>
                <w:tcPr>
                  <w:tcW w:w="429" w:type="pct"/>
                  <w:vMerge w:val="restart"/>
                  <w:vAlign w:val="center"/>
                </w:tcPr>
                <w:p>
                  <w:pPr>
                    <w:pStyle w:val="66"/>
                    <w:rPr>
                      <w:lang w:val="zh-CN"/>
                    </w:rPr>
                  </w:pPr>
                  <w:r>
                    <w:rPr>
                      <w:lang w:val="zh-CN"/>
                    </w:rPr>
                    <w:t>间断排放，排放期间流量不稳定且无规律，但不属于冲击型排放</w:t>
                  </w:r>
                </w:p>
              </w:tc>
              <w:tc>
                <w:tcPr>
                  <w:tcW w:w="287" w:type="pct"/>
                  <w:vMerge w:val="restart"/>
                  <w:vAlign w:val="center"/>
                </w:tcPr>
                <w:p>
                  <w:pPr>
                    <w:pStyle w:val="66"/>
                    <w:rPr>
                      <w:lang w:val="zh-CN" w:eastAsia="zh-CN"/>
                    </w:rPr>
                  </w:pPr>
                  <w:r>
                    <w:rPr>
                      <w:rFonts w:hint="eastAsia"/>
                      <w:lang w:val="zh-CN" w:eastAsia="zh-CN"/>
                    </w:rPr>
                    <w:t>茂名高新产业开发区污水处理厂</w:t>
                  </w:r>
                </w:p>
              </w:tc>
              <w:tc>
                <w:tcPr>
                  <w:tcW w:w="540" w:type="pct"/>
                  <w:vAlign w:val="center"/>
                </w:tcPr>
                <w:p>
                  <w:pPr>
                    <w:pStyle w:val="66"/>
                    <w:rPr>
                      <w:lang w:val="zh-CN"/>
                    </w:rPr>
                  </w:pPr>
                  <w:r>
                    <w:rPr>
                      <w:lang w:val="zh-CN"/>
                    </w:rPr>
                    <w:t>COD</w:t>
                  </w:r>
                  <w:r>
                    <w:rPr>
                      <w:vertAlign w:val="subscript"/>
                      <w:lang w:val="zh-CN"/>
                    </w:rPr>
                    <w:t>Cr</w:t>
                  </w:r>
                </w:p>
              </w:tc>
              <w:tc>
                <w:tcPr>
                  <w:tcW w:w="618" w:type="pct"/>
                  <w:vAlign w:val="center"/>
                </w:tcPr>
                <w:p>
                  <w:pPr>
                    <w:pStyle w:val="66"/>
                    <w:rPr>
                      <w:lang w:val="zh-CN" w:eastAsia="zh-CN"/>
                    </w:rPr>
                  </w:pPr>
                  <w:r>
                    <w:rPr>
                      <w:rFonts w:hint="eastAsia"/>
                      <w:lang w:val="zh-CN" w:eastAsia="zh-CN"/>
                    </w:rPr>
                    <w:t>5</w:t>
                  </w:r>
                  <w:r>
                    <w:rPr>
                      <w:lang w:val="zh-CN"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4" w:type="pct"/>
                  <w:vMerge w:val="continue"/>
                  <w:vAlign w:val="center"/>
                </w:tcPr>
                <w:p>
                  <w:pPr>
                    <w:pStyle w:val="66"/>
                    <w:rPr>
                      <w:lang w:val="zh-CN"/>
                    </w:rPr>
                  </w:pPr>
                </w:p>
              </w:tc>
              <w:tc>
                <w:tcPr>
                  <w:tcW w:w="819" w:type="pct"/>
                  <w:vMerge w:val="continue"/>
                  <w:vAlign w:val="center"/>
                </w:tcPr>
                <w:p>
                  <w:pPr>
                    <w:pStyle w:val="66"/>
                    <w:rPr>
                      <w:lang w:val="zh-CN"/>
                    </w:rPr>
                  </w:pPr>
                </w:p>
              </w:tc>
              <w:tc>
                <w:tcPr>
                  <w:tcW w:w="819" w:type="pct"/>
                  <w:vMerge w:val="continue"/>
                  <w:vAlign w:val="center"/>
                </w:tcPr>
                <w:p>
                  <w:pPr>
                    <w:pStyle w:val="66"/>
                    <w:rPr>
                      <w:lang w:val="zh-CN"/>
                    </w:rPr>
                  </w:pPr>
                </w:p>
              </w:tc>
              <w:tc>
                <w:tcPr>
                  <w:tcW w:w="606" w:type="pct"/>
                  <w:vMerge w:val="continue"/>
                  <w:vAlign w:val="center"/>
                </w:tcPr>
                <w:p>
                  <w:pPr>
                    <w:pStyle w:val="66"/>
                    <w:rPr>
                      <w:lang w:val="zh-CN"/>
                    </w:rPr>
                  </w:pPr>
                </w:p>
              </w:tc>
              <w:tc>
                <w:tcPr>
                  <w:tcW w:w="287" w:type="pct"/>
                  <w:vMerge w:val="continue"/>
                  <w:vAlign w:val="center"/>
                </w:tcPr>
                <w:p>
                  <w:pPr>
                    <w:pStyle w:val="66"/>
                    <w:rPr>
                      <w:lang w:val="zh-CN"/>
                    </w:rPr>
                  </w:pPr>
                </w:p>
              </w:tc>
              <w:tc>
                <w:tcPr>
                  <w:tcW w:w="429" w:type="pct"/>
                  <w:vMerge w:val="continue"/>
                  <w:vAlign w:val="center"/>
                </w:tcPr>
                <w:p>
                  <w:pPr>
                    <w:pStyle w:val="66"/>
                    <w:rPr>
                      <w:lang w:val="zh-CN"/>
                    </w:rPr>
                  </w:pPr>
                </w:p>
              </w:tc>
              <w:tc>
                <w:tcPr>
                  <w:tcW w:w="287" w:type="pct"/>
                  <w:vMerge w:val="continue"/>
                  <w:vAlign w:val="center"/>
                </w:tcPr>
                <w:p>
                  <w:pPr>
                    <w:pStyle w:val="66"/>
                    <w:rPr>
                      <w:lang w:val="zh-CN"/>
                    </w:rPr>
                  </w:pPr>
                </w:p>
              </w:tc>
              <w:tc>
                <w:tcPr>
                  <w:tcW w:w="540" w:type="pct"/>
                  <w:vAlign w:val="center"/>
                </w:tcPr>
                <w:p>
                  <w:pPr>
                    <w:pStyle w:val="66"/>
                    <w:rPr>
                      <w:lang w:val="zh-CN"/>
                    </w:rPr>
                  </w:pPr>
                  <w:r>
                    <w:rPr>
                      <w:lang w:val="zh-CN"/>
                    </w:rPr>
                    <w:t>BOD</w:t>
                  </w:r>
                  <w:r>
                    <w:rPr>
                      <w:vertAlign w:val="subscript"/>
                      <w:lang w:val="zh-CN"/>
                    </w:rPr>
                    <w:t>5</w:t>
                  </w:r>
                </w:p>
              </w:tc>
              <w:tc>
                <w:tcPr>
                  <w:tcW w:w="618" w:type="pct"/>
                  <w:vAlign w:val="center"/>
                </w:tcPr>
                <w:p>
                  <w:pPr>
                    <w:pStyle w:val="66"/>
                    <w:rPr>
                      <w:lang w:val="zh-CN" w:eastAsia="zh-CN"/>
                    </w:rPr>
                  </w:pPr>
                  <w:r>
                    <w:rPr>
                      <w:rFonts w:hint="eastAsia"/>
                      <w:lang w:val="zh-CN" w:eastAsia="zh-CN"/>
                    </w:rPr>
                    <w:t>1</w:t>
                  </w:r>
                  <w:r>
                    <w:rPr>
                      <w:lang w:val="zh-CN"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4" w:type="pct"/>
                  <w:vMerge w:val="continue"/>
                  <w:vAlign w:val="center"/>
                </w:tcPr>
                <w:p>
                  <w:pPr>
                    <w:pStyle w:val="66"/>
                    <w:rPr>
                      <w:lang w:val="zh-CN"/>
                    </w:rPr>
                  </w:pPr>
                </w:p>
              </w:tc>
              <w:tc>
                <w:tcPr>
                  <w:tcW w:w="819" w:type="pct"/>
                  <w:vMerge w:val="continue"/>
                  <w:vAlign w:val="center"/>
                </w:tcPr>
                <w:p>
                  <w:pPr>
                    <w:pStyle w:val="66"/>
                    <w:rPr>
                      <w:lang w:val="zh-CN"/>
                    </w:rPr>
                  </w:pPr>
                </w:p>
              </w:tc>
              <w:tc>
                <w:tcPr>
                  <w:tcW w:w="819" w:type="pct"/>
                  <w:vMerge w:val="continue"/>
                  <w:vAlign w:val="center"/>
                </w:tcPr>
                <w:p>
                  <w:pPr>
                    <w:pStyle w:val="66"/>
                    <w:rPr>
                      <w:lang w:val="zh-CN"/>
                    </w:rPr>
                  </w:pPr>
                </w:p>
              </w:tc>
              <w:tc>
                <w:tcPr>
                  <w:tcW w:w="606" w:type="pct"/>
                  <w:vMerge w:val="continue"/>
                  <w:vAlign w:val="center"/>
                </w:tcPr>
                <w:p>
                  <w:pPr>
                    <w:pStyle w:val="66"/>
                    <w:rPr>
                      <w:lang w:val="zh-CN"/>
                    </w:rPr>
                  </w:pPr>
                </w:p>
              </w:tc>
              <w:tc>
                <w:tcPr>
                  <w:tcW w:w="287" w:type="pct"/>
                  <w:vMerge w:val="continue"/>
                  <w:vAlign w:val="center"/>
                </w:tcPr>
                <w:p>
                  <w:pPr>
                    <w:pStyle w:val="66"/>
                    <w:rPr>
                      <w:lang w:val="zh-CN"/>
                    </w:rPr>
                  </w:pPr>
                </w:p>
              </w:tc>
              <w:tc>
                <w:tcPr>
                  <w:tcW w:w="429" w:type="pct"/>
                  <w:vMerge w:val="continue"/>
                  <w:vAlign w:val="center"/>
                </w:tcPr>
                <w:p>
                  <w:pPr>
                    <w:pStyle w:val="66"/>
                    <w:rPr>
                      <w:lang w:val="zh-CN"/>
                    </w:rPr>
                  </w:pPr>
                </w:p>
              </w:tc>
              <w:tc>
                <w:tcPr>
                  <w:tcW w:w="287" w:type="pct"/>
                  <w:vMerge w:val="continue"/>
                  <w:vAlign w:val="center"/>
                </w:tcPr>
                <w:p>
                  <w:pPr>
                    <w:pStyle w:val="66"/>
                    <w:rPr>
                      <w:lang w:val="zh-CN"/>
                    </w:rPr>
                  </w:pPr>
                </w:p>
              </w:tc>
              <w:tc>
                <w:tcPr>
                  <w:tcW w:w="540" w:type="pct"/>
                  <w:vAlign w:val="center"/>
                </w:tcPr>
                <w:p>
                  <w:pPr>
                    <w:pStyle w:val="66"/>
                    <w:rPr>
                      <w:lang w:val="zh-CN"/>
                    </w:rPr>
                  </w:pPr>
                  <w:r>
                    <w:rPr>
                      <w:lang w:val="zh-CN"/>
                    </w:rPr>
                    <w:t>SS</w:t>
                  </w:r>
                </w:p>
              </w:tc>
              <w:tc>
                <w:tcPr>
                  <w:tcW w:w="618" w:type="pct"/>
                  <w:vAlign w:val="center"/>
                </w:tcPr>
                <w:p>
                  <w:pPr>
                    <w:pStyle w:val="66"/>
                    <w:rPr>
                      <w:lang w:val="zh-CN" w:eastAsia="zh-CN"/>
                    </w:rPr>
                  </w:pPr>
                  <w:r>
                    <w:rPr>
                      <w:rFonts w:hint="eastAsia"/>
                      <w:lang w:val="zh-CN" w:eastAsia="zh-CN"/>
                    </w:rPr>
                    <w:t>1</w:t>
                  </w:r>
                  <w:r>
                    <w:rPr>
                      <w:lang w:val="zh-CN"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94" w:type="pct"/>
                  <w:vMerge w:val="continue"/>
                  <w:vAlign w:val="center"/>
                </w:tcPr>
                <w:p>
                  <w:pPr>
                    <w:pStyle w:val="66"/>
                    <w:rPr>
                      <w:lang w:val="zh-CN"/>
                    </w:rPr>
                  </w:pPr>
                </w:p>
              </w:tc>
              <w:tc>
                <w:tcPr>
                  <w:tcW w:w="819" w:type="pct"/>
                  <w:vMerge w:val="continue"/>
                  <w:vAlign w:val="center"/>
                </w:tcPr>
                <w:p>
                  <w:pPr>
                    <w:pStyle w:val="66"/>
                    <w:rPr>
                      <w:lang w:val="zh-CN"/>
                    </w:rPr>
                  </w:pPr>
                </w:p>
              </w:tc>
              <w:tc>
                <w:tcPr>
                  <w:tcW w:w="819" w:type="pct"/>
                  <w:vMerge w:val="continue"/>
                  <w:vAlign w:val="center"/>
                </w:tcPr>
                <w:p>
                  <w:pPr>
                    <w:pStyle w:val="66"/>
                    <w:rPr>
                      <w:lang w:val="zh-CN"/>
                    </w:rPr>
                  </w:pPr>
                </w:p>
              </w:tc>
              <w:tc>
                <w:tcPr>
                  <w:tcW w:w="606" w:type="pct"/>
                  <w:vMerge w:val="continue"/>
                  <w:vAlign w:val="center"/>
                </w:tcPr>
                <w:p>
                  <w:pPr>
                    <w:pStyle w:val="66"/>
                    <w:rPr>
                      <w:lang w:val="zh-CN"/>
                    </w:rPr>
                  </w:pPr>
                </w:p>
              </w:tc>
              <w:tc>
                <w:tcPr>
                  <w:tcW w:w="287" w:type="pct"/>
                  <w:vMerge w:val="continue"/>
                  <w:vAlign w:val="center"/>
                </w:tcPr>
                <w:p>
                  <w:pPr>
                    <w:pStyle w:val="66"/>
                    <w:rPr>
                      <w:lang w:val="zh-CN"/>
                    </w:rPr>
                  </w:pPr>
                </w:p>
              </w:tc>
              <w:tc>
                <w:tcPr>
                  <w:tcW w:w="429" w:type="pct"/>
                  <w:vMerge w:val="continue"/>
                  <w:vAlign w:val="center"/>
                </w:tcPr>
                <w:p>
                  <w:pPr>
                    <w:pStyle w:val="66"/>
                    <w:rPr>
                      <w:lang w:val="zh-CN"/>
                    </w:rPr>
                  </w:pPr>
                </w:p>
              </w:tc>
              <w:tc>
                <w:tcPr>
                  <w:tcW w:w="287" w:type="pct"/>
                  <w:vMerge w:val="continue"/>
                  <w:vAlign w:val="center"/>
                </w:tcPr>
                <w:p>
                  <w:pPr>
                    <w:pStyle w:val="66"/>
                    <w:rPr>
                      <w:lang w:val="zh-CN"/>
                    </w:rPr>
                  </w:pPr>
                </w:p>
              </w:tc>
              <w:tc>
                <w:tcPr>
                  <w:tcW w:w="540" w:type="pct"/>
                  <w:vAlign w:val="center"/>
                </w:tcPr>
                <w:p>
                  <w:pPr>
                    <w:pStyle w:val="66"/>
                    <w:rPr>
                      <w:lang w:val="zh-CN"/>
                    </w:rPr>
                  </w:pPr>
                  <w:r>
                    <w:rPr>
                      <w:lang w:val="zh-CN"/>
                    </w:rPr>
                    <w:t>NH</w:t>
                  </w:r>
                  <w:r>
                    <w:rPr>
                      <w:vertAlign w:val="subscript"/>
                      <w:lang w:val="zh-CN"/>
                    </w:rPr>
                    <w:t>3</w:t>
                  </w:r>
                  <w:r>
                    <w:rPr>
                      <w:lang w:val="zh-CN"/>
                    </w:rPr>
                    <w:t>-N</w:t>
                  </w:r>
                </w:p>
              </w:tc>
              <w:tc>
                <w:tcPr>
                  <w:tcW w:w="618" w:type="pct"/>
                  <w:vAlign w:val="center"/>
                </w:tcPr>
                <w:p>
                  <w:pPr>
                    <w:pStyle w:val="66"/>
                    <w:rPr>
                      <w:lang w:val="zh-CN" w:eastAsia="zh-CN"/>
                    </w:rPr>
                  </w:pPr>
                  <w:r>
                    <w:rPr>
                      <w:rFonts w:hint="eastAsia"/>
                      <w:lang w:val="zh-CN"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94" w:type="pct"/>
                  <w:vMerge w:val="continue"/>
                  <w:vAlign w:val="center"/>
                </w:tcPr>
                <w:p>
                  <w:pPr>
                    <w:pStyle w:val="66"/>
                    <w:rPr>
                      <w:lang w:val="zh-CN"/>
                    </w:rPr>
                  </w:pPr>
                </w:p>
              </w:tc>
              <w:tc>
                <w:tcPr>
                  <w:tcW w:w="819" w:type="pct"/>
                  <w:vMerge w:val="continue"/>
                  <w:vAlign w:val="center"/>
                </w:tcPr>
                <w:p>
                  <w:pPr>
                    <w:pStyle w:val="66"/>
                    <w:rPr>
                      <w:lang w:val="zh-CN"/>
                    </w:rPr>
                  </w:pPr>
                </w:p>
              </w:tc>
              <w:tc>
                <w:tcPr>
                  <w:tcW w:w="819" w:type="pct"/>
                  <w:vMerge w:val="continue"/>
                  <w:vAlign w:val="center"/>
                </w:tcPr>
                <w:p>
                  <w:pPr>
                    <w:pStyle w:val="66"/>
                    <w:rPr>
                      <w:lang w:val="zh-CN"/>
                    </w:rPr>
                  </w:pPr>
                </w:p>
              </w:tc>
              <w:tc>
                <w:tcPr>
                  <w:tcW w:w="606" w:type="pct"/>
                  <w:vMerge w:val="continue"/>
                  <w:vAlign w:val="center"/>
                </w:tcPr>
                <w:p>
                  <w:pPr>
                    <w:pStyle w:val="66"/>
                    <w:rPr>
                      <w:lang w:val="zh-CN"/>
                    </w:rPr>
                  </w:pPr>
                </w:p>
              </w:tc>
              <w:tc>
                <w:tcPr>
                  <w:tcW w:w="287" w:type="pct"/>
                  <w:vMerge w:val="continue"/>
                  <w:vAlign w:val="center"/>
                </w:tcPr>
                <w:p>
                  <w:pPr>
                    <w:pStyle w:val="66"/>
                    <w:rPr>
                      <w:lang w:val="zh-CN"/>
                    </w:rPr>
                  </w:pPr>
                </w:p>
              </w:tc>
              <w:tc>
                <w:tcPr>
                  <w:tcW w:w="429" w:type="pct"/>
                  <w:vMerge w:val="continue"/>
                  <w:vAlign w:val="center"/>
                </w:tcPr>
                <w:p>
                  <w:pPr>
                    <w:pStyle w:val="66"/>
                    <w:rPr>
                      <w:lang w:val="zh-CN"/>
                    </w:rPr>
                  </w:pPr>
                </w:p>
              </w:tc>
              <w:tc>
                <w:tcPr>
                  <w:tcW w:w="287" w:type="pct"/>
                  <w:vMerge w:val="continue"/>
                  <w:vAlign w:val="center"/>
                </w:tcPr>
                <w:p>
                  <w:pPr>
                    <w:pStyle w:val="66"/>
                    <w:rPr>
                      <w:lang w:val="zh-CN"/>
                    </w:rPr>
                  </w:pPr>
                </w:p>
              </w:tc>
              <w:tc>
                <w:tcPr>
                  <w:tcW w:w="540" w:type="pct"/>
                  <w:vAlign w:val="center"/>
                </w:tcPr>
                <w:p>
                  <w:pPr>
                    <w:pStyle w:val="66"/>
                    <w:rPr>
                      <w:lang w:val="zh-CN"/>
                    </w:rPr>
                  </w:pPr>
                  <w:r>
                    <w:rPr>
                      <w:rFonts w:hint="eastAsia"/>
                      <w:lang w:val="zh-CN" w:eastAsia="zh-CN"/>
                    </w:rPr>
                    <w:t>粪大肠杆菌</w:t>
                  </w:r>
                </w:p>
              </w:tc>
              <w:tc>
                <w:tcPr>
                  <w:tcW w:w="618" w:type="pct"/>
                  <w:vAlign w:val="center"/>
                </w:tcPr>
                <w:p>
                  <w:pPr>
                    <w:pStyle w:val="66"/>
                    <w:rPr>
                      <w:lang w:val="zh-CN" w:eastAsia="zh-CN"/>
                    </w:rPr>
                  </w:pPr>
                  <w:r>
                    <w:rPr>
                      <w:rFonts w:hint="eastAsia"/>
                      <w:lang w:val="zh-CN" w:eastAsia="zh-CN"/>
                    </w:rPr>
                    <w:t>1</w:t>
                  </w:r>
                  <w:r>
                    <w:rPr>
                      <w:lang w:val="zh-CN" w:eastAsia="zh-CN"/>
                    </w:rPr>
                    <w:t>000</w:t>
                  </w:r>
                  <w:r>
                    <w:rPr>
                      <w:rFonts w:hint="eastAsia"/>
                      <w:lang w:val="zh-CN" w:eastAsia="zh-CN"/>
                    </w:rPr>
                    <w:t>(个/L</w:t>
                  </w:r>
                  <w:r>
                    <w:rPr>
                      <w:lang w:val="zh-CN" w:eastAsia="zh-CN"/>
                    </w:rPr>
                    <w:t>)</w:t>
                  </w:r>
                </w:p>
              </w:tc>
            </w:tr>
          </w:tbl>
          <w:p>
            <w:pPr>
              <w:pStyle w:val="56"/>
            </w:pPr>
          </w:p>
          <w:p>
            <w:pPr>
              <w:pStyle w:val="4"/>
              <w:rPr>
                <w:lang w:eastAsia="zh-CN"/>
              </w:rPr>
            </w:pPr>
            <w:bookmarkStart w:id="122" w:name="_Toc120889821"/>
            <w:bookmarkStart w:id="123" w:name="_Toc121147750"/>
            <w:bookmarkStart w:id="124" w:name="_Toc122338518"/>
            <w:r>
              <w:rPr>
                <w:rFonts w:hint="eastAsia"/>
                <w:lang w:eastAsia="zh-CN"/>
              </w:rPr>
              <w:t>废气环境影响和环保措施</w:t>
            </w:r>
            <w:bookmarkEnd w:id="122"/>
            <w:bookmarkEnd w:id="123"/>
            <w:bookmarkEnd w:id="124"/>
          </w:p>
          <w:p>
            <w:pPr>
              <w:pStyle w:val="5"/>
              <w:rPr>
                <w:lang w:eastAsia="zh-CN"/>
              </w:rPr>
            </w:pPr>
            <w:r>
              <w:rPr>
                <w:rFonts w:hint="eastAsia"/>
                <w:lang w:eastAsia="zh-CN"/>
              </w:rPr>
              <w:t>产排污分析</w:t>
            </w:r>
          </w:p>
          <w:p>
            <w:pPr>
              <w:ind w:firstLine="480"/>
            </w:pPr>
            <w:r>
              <w:rPr>
                <w:rFonts w:hint="eastAsia"/>
              </w:rPr>
              <w:t>本项目不设柴油发电机和锅炉，同时本项目盐酸使用量较少，产生的微量酸性气体对周围环境影响较小，可忽略不计。因此，项目运营期实验室检验过程中产生的废气主要为：生物安全柜使用时产生的气溶胶废气；试剂取样、配制、试验样品前处理等操作时，会产生一定量的挥发性有机废气；污水处理站产生的恶臭气体。</w:t>
            </w:r>
            <w:r>
              <w:t>本项目配备的高压灭菌器使用时有少量水蒸汽排放，可忽略不计。</w:t>
            </w:r>
          </w:p>
          <w:p>
            <w:pPr>
              <w:ind w:firstLine="480"/>
            </w:pPr>
            <w:r>
              <w:rPr>
                <w:rFonts w:hint="eastAsia"/>
              </w:rPr>
              <w:t>（1）气溶胶废气</w:t>
            </w:r>
          </w:p>
          <w:p>
            <w:pPr>
              <w:ind w:firstLine="480"/>
            </w:pPr>
            <w:r>
              <w:rPr>
                <w:rFonts w:hint="eastAsia"/>
              </w:rPr>
              <w:t>实验室带菌操作区中会产生飘浮的病菌气溶胶，带菌操作均在生物安全柜内进行，会产生极其微量气溶胶废气，因此，不定量计算。</w:t>
            </w:r>
          </w:p>
          <w:p>
            <w:pPr>
              <w:ind w:firstLine="480"/>
            </w:pPr>
            <w:r>
              <w:rPr>
                <w:rFonts w:hint="eastAsia"/>
              </w:rPr>
              <w:t>本项目生物实验均在二级生物安全检验室和二级生物安全柜中进行，而实验室及生物安全柜均为负压设计，安装微压差传感器，送风设置定量送风阀、排风设置电动调节阀，通过PLC闭环控制保证室内负压强梯度。</w:t>
            </w:r>
          </w:p>
          <w:p>
            <w:pPr>
              <w:ind w:firstLine="480"/>
            </w:pPr>
            <w:r>
              <w:rPr>
                <w:rFonts w:hint="eastAsia"/>
              </w:rPr>
              <w:t>本项目实验均在生物安全柜或负压环境中进行操作，生物安全柜的实验平台对实验室内环境始终处于负压状态，气流在生物安全柜内实现“侧进上排”，杜绝实验过程产生的气溶胶从操作窗口外逸。生物安全柜高效过滤器及实验室排风系统高效过滤器过滤可对含病原微生物的气溶胶进行处理，对于直径0.3µm的感染性气浴胶和溅出物，过滤器可以截留99.97％，而对于更大的感染性气浴胶和溅出物则可以截留99.99％，因此过滤后外排风基本不含气溶胶。同时项目实验室内天花板上设有紫外线消毒灯，在不工作时间进行紫外线消毒。</w:t>
            </w:r>
          </w:p>
          <w:p>
            <w:pPr>
              <w:ind w:firstLine="480"/>
            </w:pPr>
            <w:r>
              <w:rPr>
                <w:rFonts w:hint="eastAsia"/>
              </w:rPr>
              <w:t>（2）病理区域、PCR区域的实验废气（VOCs）</w:t>
            </w:r>
          </w:p>
          <w:p>
            <w:pPr>
              <w:ind w:firstLine="480"/>
            </w:pPr>
            <w:r>
              <w:rPr>
                <w:rFonts w:hint="eastAsia"/>
              </w:rPr>
              <w:t>项目使用的临检试剂盒、生化试剂盒、免疫试剂盒均不易挥发，废气污染主要产生于病理技术区和PCR试验区域，主要为细胞或组织染色/脱色、固定等过程中使用的乙醇挥发产生的有机废气，擦拭仪器、工作台使用产生的有机废气，主要挥发性物质为乙醇、混合烃类物质。项目使用药品试剂多样且各种挥发性有机溶剂的挥发率及使用时间均不相同，所以本次评价以最不利情况考虑。根据建设单位提供的资料，实验室医学检验每天平均操作时间为</w:t>
            </w:r>
            <w:r>
              <w:t>8</w:t>
            </w:r>
            <w:r>
              <w:rPr>
                <w:rFonts w:hint="eastAsia"/>
              </w:rPr>
              <w:t>h，年工作365天，则实验室年操作时间为</w:t>
            </w:r>
            <w:r>
              <w:t>2920</w:t>
            </w:r>
            <w:r>
              <w:rPr>
                <w:rFonts w:hint="eastAsia"/>
              </w:rPr>
              <w:t>小时。</w:t>
            </w:r>
          </w:p>
          <w:p>
            <w:pPr>
              <w:ind w:firstLine="480"/>
            </w:pPr>
            <w:r>
              <w:rPr>
                <w:rFonts w:hint="eastAsia"/>
              </w:rPr>
              <w:t>①实验有机废气</w:t>
            </w:r>
          </w:p>
          <w:p>
            <w:pPr>
              <w:ind w:firstLine="480"/>
            </w:pPr>
            <w:r>
              <w:rPr>
                <w:rFonts w:hint="eastAsia"/>
              </w:rPr>
              <w:t>本项目实验室使用的挥发性溶剂主要为乙醇，其操作均在半密闭的通风柜内进行，且实验室均采用敞口面积较小的试剂瓶。根据《工业污染源调查与研究》（美国环境保护局编）资料，在实验室条件下，有机溶剂的挥发量一般在1%~5%，本次评价取试剂使用量的5%作为本项目检测过程中各化学试剂的挥发量。项目实验过程中乙醇废气的产生量为：实验使用的乙醇量*</w:t>
            </w:r>
            <w:r>
              <w:t>5</w:t>
            </w:r>
            <w:r>
              <w:rPr>
                <w:rFonts w:hint="eastAsia"/>
              </w:rPr>
              <w:t>%</w:t>
            </w:r>
            <w:r>
              <w:t>*</w:t>
            </w:r>
            <w:r>
              <w:rPr>
                <w:rFonts w:hint="eastAsia"/>
              </w:rPr>
              <w:t>乙醇密度*乙醇纯度，具体挥发量见下</w:t>
            </w:r>
            <w:r>
              <w:fldChar w:fldCharType="begin"/>
            </w:r>
            <w:r>
              <w:instrText xml:space="preserve"> </w:instrText>
            </w:r>
            <w:r>
              <w:rPr>
                <w:rFonts w:hint="eastAsia"/>
              </w:rPr>
              <w:instrText xml:space="preserve">REF _Ref122184450 \h</w:instrText>
            </w:r>
            <w:r>
              <w:instrText xml:space="preserve"> </w:instrText>
            </w:r>
            <w:r>
              <w:fldChar w:fldCharType="separate"/>
            </w:r>
            <w:r>
              <w:rPr>
                <w:rFonts w:hint="eastAsia"/>
              </w:rPr>
              <w:t xml:space="preserve">表 </w:t>
            </w:r>
            <w:r>
              <w:t>4.2</w:t>
            </w:r>
            <w:r>
              <w:noBreakHyphen/>
            </w:r>
            <w:r>
              <w:t>8</w:t>
            </w:r>
            <w:r>
              <w:fldChar w:fldCharType="end"/>
            </w:r>
            <w:r>
              <w:rPr>
                <w:rFonts w:hint="eastAsia"/>
              </w:rPr>
              <w:t>。</w:t>
            </w:r>
          </w:p>
          <w:p>
            <w:pPr>
              <w:ind w:firstLine="480"/>
            </w:pPr>
            <w:r>
              <w:rPr>
                <w:rFonts w:hint="eastAsia"/>
              </w:rPr>
              <w:t>②消毒有机废气</w:t>
            </w:r>
          </w:p>
          <w:p>
            <w:pPr>
              <w:ind w:firstLine="480"/>
            </w:pPr>
            <w:r>
              <w:rPr>
                <w:rFonts w:hint="eastAsia"/>
              </w:rPr>
              <w:t>本项目使用无水乙醇对实验台面进行擦拭，会产生挥发性有机废气，主要污染因子为非甲烷总烃。根据乙醇的挥发特性，挥发成份与乙醇的使用频次有关，乙醇挥发按照100%考虑。项目消毒擦拭过程中乙醇废气的产生量为：消毒擦拭使用的乙醇量*</w:t>
            </w:r>
            <w:r>
              <w:t>5</w:t>
            </w:r>
            <w:r>
              <w:rPr>
                <w:rFonts w:hint="eastAsia"/>
              </w:rPr>
              <w:t>%</w:t>
            </w:r>
            <w:r>
              <w:t>*</w:t>
            </w:r>
            <w:r>
              <w:rPr>
                <w:rFonts w:hint="eastAsia"/>
              </w:rPr>
              <w:t>乙醇密度*乙醇纯度，具体挥发量见下</w:t>
            </w:r>
            <w:r>
              <w:fldChar w:fldCharType="begin"/>
            </w:r>
            <w:r>
              <w:instrText xml:space="preserve"> </w:instrText>
            </w:r>
            <w:r>
              <w:rPr>
                <w:rFonts w:hint="eastAsia"/>
              </w:rPr>
              <w:instrText xml:space="preserve">REF _Ref122184450 \h</w:instrText>
            </w:r>
            <w:r>
              <w:instrText xml:space="preserve"> </w:instrText>
            </w:r>
            <w:r>
              <w:fldChar w:fldCharType="separate"/>
            </w:r>
            <w:r>
              <w:rPr>
                <w:rFonts w:hint="eastAsia"/>
              </w:rPr>
              <w:t xml:space="preserve">表 </w:t>
            </w:r>
            <w:r>
              <w:t>4.2</w:t>
            </w:r>
            <w:r>
              <w:noBreakHyphen/>
            </w:r>
            <w:r>
              <w:t>8</w:t>
            </w:r>
            <w:r>
              <w:fldChar w:fldCharType="end"/>
            </w:r>
            <w:r>
              <w:rPr>
                <w:rFonts w:hint="eastAsia"/>
              </w:rPr>
              <w:t>。</w:t>
            </w:r>
          </w:p>
          <w:p>
            <w:pPr>
              <w:ind w:firstLine="480"/>
            </w:pPr>
            <w:r>
              <w:rPr>
                <w:rFonts w:hint="eastAsia"/>
              </w:rPr>
              <w:t>项目实验操作位于无尘密闭车间内，各实验室的乙醇挥发产生的有机废气经通风橱收集后引至天台的处理措施处理达标后通过其对应的</w:t>
            </w:r>
            <w:r>
              <w:t>20</w:t>
            </w:r>
            <w:r>
              <w:rPr>
                <w:rFonts w:hint="eastAsia"/>
              </w:rPr>
              <w:t>m排气筒高空排放，项目非甲烷总烃总排放量为</w:t>
            </w:r>
            <w:r>
              <w:rPr>
                <w:lang w:val="zh-CN"/>
              </w:rPr>
              <w:t>72.886</w:t>
            </w:r>
            <w:r>
              <w:rPr>
                <w:rFonts w:hint="eastAsia"/>
                <w:lang w:val="zh-CN"/>
              </w:rPr>
              <w:t>kg/a</w:t>
            </w:r>
            <w:r>
              <w:rPr>
                <w:rFonts w:hint="eastAsia"/>
              </w:rPr>
              <w:t>，其中有组织排放量为28.677kg/a，无组织排放量为44.189kg/a。</w:t>
            </w:r>
          </w:p>
        </w:tc>
      </w:tr>
    </w:tbl>
    <w:p>
      <w:pPr>
        <w:ind w:firstLine="480"/>
        <w:rPr>
          <w:lang w:eastAsia="zh-CN"/>
        </w:rPr>
        <w:sectPr>
          <w:pgSz w:w="11906" w:h="16838"/>
          <w:pgMar w:top="1440" w:right="1800" w:bottom="1440" w:left="1800" w:header="851" w:footer="992" w:gutter="0"/>
          <w:cols w:space="720" w:num="1"/>
          <w:docGrid w:type="lines" w:linePitch="326" w:charSpace="0"/>
        </w:sectPr>
      </w:pP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3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8" w:hRule="atLeast"/>
          <w:jc w:val="center"/>
        </w:trPr>
        <w:tc>
          <w:tcPr>
            <w:tcW w:w="403" w:type="pct"/>
            <w:vAlign w:val="center"/>
          </w:tcPr>
          <w:p>
            <w:pPr>
              <w:spacing w:line="240" w:lineRule="auto"/>
              <w:ind w:firstLine="0" w:firstLineChars="0"/>
              <w:jc w:val="center"/>
            </w:pPr>
            <w:r>
              <w:rPr>
                <w:rFonts w:hint="eastAsia"/>
              </w:rPr>
              <w:t>运营期环境影响和保护措施</w:t>
            </w:r>
          </w:p>
        </w:tc>
        <w:tc>
          <w:tcPr>
            <w:tcW w:w="4597" w:type="pct"/>
          </w:tcPr>
          <w:p>
            <w:pPr>
              <w:pStyle w:val="55"/>
            </w:pPr>
            <w:bookmarkStart w:id="125" w:name="_Ref122184450"/>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8</w:t>
            </w:r>
            <w:r>
              <w:fldChar w:fldCharType="end"/>
            </w:r>
            <w:bookmarkEnd w:id="125"/>
            <w:r>
              <w:rPr>
                <w:rFonts w:hint="eastAsia"/>
              </w:rPr>
              <w:t>实验室废气产排情况一览表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911"/>
              <w:gridCol w:w="1260"/>
              <w:gridCol w:w="1109"/>
              <w:gridCol w:w="1109"/>
              <w:gridCol w:w="1109"/>
              <w:gridCol w:w="1109"/>
              <w:gridCol w:w="1081"/>
              <w:gridCol w:w="1040"/>
              <w:gridCol w:w="1186"/>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79" w:type="pct"/>
                  <w:vMerge w:val="restart"/>
                  <w:vAlign w:val="center"/>
                </w:tcPr>
                <w:p>
                  <w:pPr>
                    <w:pStyle w:val="56"/>
                  </w:pPr>
                  <w:r>
                    <w:rPr>
                      <w:rFonts w:hint="eastAsia"/>
                    </w:rPr>
                    <w:t>序号</w:t>
                  </w:r>
                </w:p>
              </w:tc>
              <w:tc>
                <w:tcPr>
                  <w:tcW w:w="746" w:type="pct"/>
                  <w:vMerge w:val="restart"/>
                  <w:vAlign w:val="center"/>
                </w:tcPr>
                <w:p>
                  <w:pPr>
                    <w:pStyle w:val="56"/>
                  </w:pPr>
                  <w:r>
                    <w:rPr>
                      <w:rFonts w:hint="eastAsia"/>
                    </w:rPr>
                    <w:t>处理区域</w:t>
                  </w:r>
                </w:p>
              </w:tc>
              <w:tc>
                <w:tcPr>
                  <w:tcW w:w="492" w:type="pct"/>
                  <w:vMerge w:val="restart"/>
                  <w:vAlign w:val="center"/>
                </w:tcPr>
                <w:p>
                  <w:pPr>
                    <w:pStyle w:val="56"/>
                  </w:pPr>
                  <w:r>
                    <w:rPr>
                      <w:rFonts w:hint="eastAsia"/>
                    </w:rPr>
                    <w:t>使用乙醇量</w:t>
                  </w:r>
                </w:p>
              </w:tc>
              <w:tc>
                <w:tcPr>
                  <w:tcW w:w="866" w:type="pct"/>
                  <w:gridSpan w:val="2"/>
                  <w:vAlign w:val="center"/>
                </w:tcPr>
                <w:p>
                  <w:pPr>
                    <w:pStyle w:val="56"/>
                  </w:pPr>
                  <w:r>
                    <w:rPr>
                      <w:rFonts w:hint="eastAsia"/>
                    </w:rPr>
                    <w:t>实验</w:t>
                  </w:r>
                </w:p>
              </w:tc>
              <w:tc>
                <w:tcPr>
                  <w:tcW w:w="433" w:type="pct"/>
                  <w:vAlign w:val="center"/>
                </w:tcPr>
                <w:p>
                  <w:pPr>
                    <w:pStyle w:val="56"/>
                    <w:rPr>
                      <w:lang w:eastAsia="zh-CN"/>
                    </w:rPr>
                  </w:pPr>
                  <w:r>
                    <w:rPr>
                      <w:rFonts w:hint="eastAsia"/>
                    </w:rPr>
                    <w:t>消毒</w:t>
                  </w:r>
                </w:p>
              </w:tc>
              <w:tc>
                <w:tcPr>
                  <w:tcW w:w="433" w:type="pct"/>
                  <w:vMerge w:val="restart"/>
                  <w:vAlign w:val="center"/>
                </w:tcPr>
                <w:p>
                  <w:pPr>
                    <w:pStyle w:val="56"/>
                  </w:pPr>
                  <w:r>
                    <w:rPr>
                      <w:rFonts w:hint="eastAsia"/>
                    </w:rPr>
                    <w:t>乙醇</w:t>
                  </w:r>
                  <w:r>
                    <w:rPr>
                      <w:rFonts w:hint="eastAsia"/>
                      <w:lang w:eastAsia="zh-CN"/>
                    </w:rPr>
                    <w:t>产生量</w:t>
                  </w:r>
                  <w:r>
                    <w:rPr>
                      <w:rFonts w:hint="eastAsia"/>
                    </w:rPr>
                    <w:t>/kg</w:t>
                  </w:r>
                </w:p>
              </w:tc>
              <w:tc>
                <w:tcPr>
                  <w:tcW w:w="422" w:type="pct"/>
                  <w:vMerge w:val="restart"/>
                  <w:vAlign w:val="center"/>
                </w:tcPr>
                <w:p>
                  <w:pPr>
                    <w:pStyle w:val="56"/>
                  </w:pPr>
                  <w:r>
                    <w:rPr>
                      <w:rFonts w:hint="eastAsia"/>
                    </w:rPr>
                    <w:t>收集效率%</w:t>
                  </w:r>
                </w:p>
              </w:tc>
              <w:tc>
                <w:tcPr>
                  <w:tcW w:w="406" w:type="pct"/>
                  <w:vMerge w:val="restart"/>
                  <w:vAlign w:val="center"/>
                </w:tcPr>
                <w:p>
                  <w:pPr>
                    <w:pStyle w:val="56"/>
                  </w:pPr>
                  <w:r>
                    <w:rPr>
                      <w:rFonts w:hint="eastAsia"/>
                    </w:rPr>
                    <w:t>处理效率</w:t>
                  </w:r>
                </w:p>
              </w:tc>
              <w:tc>
                <w:tcPr>
                  <w:tcW w:w="463" w:type="pct"/>
                  <w:vMerge w:val="restart"/>
                  <w:vAlign w:val="center"/>
                </w:tcPr>
                <w:p>
                  <w:pPr>
                    <w:pStyle w:val="56"/>
                  </w:pPr>
                  <w:r>
                    <w:rPr>
                      <w:rFonts w:hint="eastAsia"/>
                    </w:rPr>
                    <w:t>有组织排放量k</w:t>
                  </w:r>
                  <w:r>
                    <w:t>g</w:t>
                  </w:r>
                </w:p>
              </w:tc>
              <w:tc>
                <w:tcPr>
                  <w:tcW w:w="460" w:type="pct"/>
                  <w:vMerge w:val="restart"/>
                  <w:vAlign w:val="center"/>
                </w:tcPr>
                <w:p>
                  <w:pPr>
                    <w:pStyle w:val="56"/>
                  </w:pPr>
                  <w:r>
                    <w:rPr>
                      <w:rFonts w:hint="eastAsia"/>
                    </w:rPr>
                    <w:t>无组织排放量k</w:t>
                  </w:r>
                  <w: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79" w:type="pct"/>
                  <w:vMerge w:val="continue"/>
                  <w:vAlign w:val="center"/>
                </w:tcPr>
                <w:p>
                  <w:pPr>
                    <w:pStyle w:val="56"/>
                  </w:pPr>
                </w:p>
              </w:tc>
              <w:tc>
                <w:tcPr>
                  <w:tcW w:w="746" w:type="pct"/>
                  <w:vMerge w:val="continue"/>
                  <w:vAlign w:val="center"/>
                </w:tcPr>
                <w:p>
                  <w:pPr>
                    <w:pStyle w:val="56"/>
                  </w:pPr>
                </w:p>
              </w:tc>
              <w:tc>
                <w:tcPr>
                  <w:tcW w:w="492" w:type="pct"/>
                  <w:vMerge w:val="continue"/>
                  <w:vAlign w:val="center"/>
                </w:tcPr>
                <w:p>
                  <w:pPr>
                    <w:pStyle w:val="56"/>
                  </w:pPr>
                </w:p>
              </w:tc>
              <w:tc>
                <w:tcPr>
                  <w:tcW w:w="433" w:type="pct"/>
                  <w:vAlign w:val="center"/>
                </w:tcPr>
                <w:p>
                  <w:pPr>
                    <w:pStyle w:val="56"/>
                  </w:pPr>
                  <w:r>
                    <w:rPr>
                      <w:rFonts w:hint="eastAsia"/>
                    </w:rPr>
                    <w:t>实验使用乙醇量</w:t>
                  </w:r>
                  <w:r>
                    <w:t>/</w:t>
                  </w:r>
                  <w:r>
                    <w:rPr>
                      <w:rFonts w:hint="eastAsia"/>
                    </w:rPr>
                    <w:t>L</w:t>
                  </w:r>
                </w:p>
              </w:tc>
              <w:tc>
                <w:tcPr>
                  <w:tcW w:w="433" w:type="pct"/>
                  <w:vAlign w:val="center"/>
                </w:tcPr>
                <w:p>
                  <w:pPr>
                    <w:pStyle w:val="56"/>
                    <w:rPr>
                      <w:lang w:eastAsia="zh-CN"/>
                    </w:rPr>
                  </w:pPr>
                  <w:r>
                    <w:rPr>
                      <w:rFonts w:hint="eastAsia"/>
                      <w:lang w:eastAsia="zh-CN"/>
                    </w:rPr>
                    <w:t>实验</w:t>
                  </w:r>
                  <w:r>
                    <w:rPr>
                      <w:rFonts w:hint="eastAsia"/>
                    </w:rPr>
                    <w:t>乙醇</w:t>
                  </w:r>
                  <w:r>
                    <w:rPr>
                      <w:rFonts w:hint="eastAsia"/>
                      <w:lang w:eastAsia="zh-CN"/>
                    </w:rPr>
                    <w:t>挥发</w:t>
                  </w:r>
                  <w:r>
                    <w:rPr>
                      <w:rFonts w:hint="eastAsia"/>
                    </w:rPr>
                    <w:t>量</w:t>
                  </w:r>
                  <w:r>
                    <w:rPr>
                      <w:rFonts w:hint="eastAsia"/>
                      <w:lang w:eastAsia="zh-CN"/>
                    </w:rPr>
                    <w:t>(5%</w:t>
                  </w:r>
                  <w:r>
                    <w:rPr>
                      <w:lang w:eastAsia="zh-CN"/>
                    </w:rPr>
                    <w:t>)</w:t>
                  </w:r>
                  <w:r>
                    <w:t>/</w:t>
                  </w:r>
                  <w:r>
                    <w:rPr>
                      <w:rFonts w:hint="eastAsia"/>
                    </w:rPr>
                    <w:t>L</w:t>
                  </w:r>
                </w:p>
              </w:tc>
              <w:tc>
                <w:tcPr>
                  <w:tcW w:w="433" w:type="pct"/>
                  <w:vAlign w:val="center"/>
                </w:tcPr>
                <w:p>
                  <w:pPr>
                    <w:pStyle w:val="56"/>
                    <w:rPr>
                      <w:lang w:eastAsia="zh-CN"/>
                    </w:rPr>
                  </w:pPr>
                  <w:r>
                    <w:rPr>
                      <w:rFonts w:hint="eastAsia"/>
                      <w:lang w:eastAsia="zh-CN"/>
                    </w:rPr>
                    <w:t>擦拭消毒</w:t>
                  </w:r>
                  <w:r>
                    <w:rPr>
                      <w:rFonts w:hint="eastAsia"/>
                    </w:rPr>
                    <w:t>使用乙醇量/L</w:t>
                  </w:r>
                </w:p>
              </w:tc>
              <w:tc>
                <w:tcPr>
                  <w:tcW w:w="433" w:type="pct"/>
                  <w:vMerge w:val="continue"/>
                  <w:vAlign w:val="center"/>
                </w:tcPr>
                <w:p>
                  <w:pPr>
                    <w:pStyle w:val="56"/>
                  </w:pPr>
                </w:p>
              </w:tc>
              <w:tc>
                <w:tcPr>
                  <w:tcW w:w="422" w:type="pct"/>
                  <w:vMerge w:val="continue"/>
                  <w:vAlign w:val="center"/>
                </w:tcPr>
                <w:p>
                  <w:pPr>
                    <w:pStyle w:val="56"/>
                  </w:pPr>
                </w:p>
              </w:tc>
              <w:tc>
                <w:tcPr>
                  <w:tcW w:w="406" w:type="pct"/>
                  <w:vMerge w:val="continue"/>
                  <w:vAlign w:val="center"/>
                </w:tcPr>
                <w:p>
                  <w:pPr>
                    <w:pStyle w:val="56"/>
                  </w:pPr>
                </w:p>
              </w:tc>
              <w:tc>
                <w:tcPr>
                  <w:tcW w:w="463" w:type="pct"/>
                  <w:vMerge w:val="continue"/>
                  <w:vAlign w:val="center"/>
                </w:tcPr>
                <w:p>
                  <w:pPr>
                    <w:pStyle w:val="56"/>
                  </w:pPr>
                </w:p>
              </w:tc>
              <w:tc>
                <w:tcPr>
                  <w:tcW w:w="460"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pPr>
                  <w:r>
                    <w:rPr>
                      <w:rFonts w:hint="eastAsia"/>
                    </w:rPr>
                    <w:t>1</w:t>
                  </w:r>
                </w:p>
              </w:tc>
              <w:tc>
                <w:tcPr>
                  <w:tcW w:w="746" w:type="pct"/>
                  <w:vAlign w:val="center"/>
                </w:tcPr>
                <w:p>
                  <w:pPr>
                    <w:pStyle w:val="56"/>
                  </w:pPr>
                  <w:r>
                    <w:rPr>
                      <w:rFonts w:hint="eastAsia"/>
                    </w:rPr>
                    <w:t>PCR实验室1</w:t>
                  </w:r>
                </w:p>
              </w:tc>
              <w:tc>
                <w:tcPr>
                  <w:tcW w:w="492" w:type="pct"/>
                  <w:vAlign w:val="center"/>
                </w:tcPr>
                <w:p>
                  <w:pPr>
                    <w:pStyle w:val="56"/>
                  </w:pPr>
                  <w:r>
                    <w:t>100</w:t>
                  </w:r>
                  <w:r>
                    <w:rPr>
                      <w:rFonts w:hint="eastAsia"/>
                    </w:rPr>
                    <w:t>瓶</w:t>
                  </w:r>
                  <w:r>
                    <w:rPr>
                      <w:rFonts w:hint="eastAsia"/>
                      <w:lang w:eastAsia="zh-CN"/>
                    </w:rPr>
                    <w:t>（</w:t>
                  </w:r>
                  <w:r>
                    <w:t>30</w:t>
                  </w:r>
                  <w:r>
                    <w:rPr>
                      <w:rFonts w:hint="eastAsia"/>
                    </w:rPr>
                    <w:t>L</w:t>
                  </w:r>
                  <w:r>
                    <w:rPr>
                      <w:rFonts w:hint="eastAsia"/>
                      <w:lang w:eastAsia="zh-CN"/>
                    </w:rPr>
                    <w:t>）</w:t>
                  </w:r>
                </w:p>
              </w:tc>
              <w:tc>
                <w:tcPr>
                  <w:tcW w:w="433" w:type="pct"/>
                  <w:vAlign w:val="center"/>
                </w:tcPr>
                <w:p>
                  <w:pPr>
                    <w:pStyle w:val="56"/>
                  </w:pPr>
                  <w:r>
                    <w:t>20</w:t>
                  </w:r>
                </w:p>
              </w:tc>
              <w:tc>
                <w:tcPr>
                  <w:tcW w:w="433" w:type="pct"/>
                  <w:vAlign w:val="center"/>
                </w:tcPr>
                <w:p>
                  <w:pPr>
                    <w:pStyle w:val="56"/>
                  </w:pPr>
                  <w:r>
                    <w:rPr>
                      <w:rFonts w:hint="eastAsia"/>
                    </w:rPr>
                    <w:t>1</w:t>
                  </w:r>
                </w:p>
              </w:tc>
              <w:tc>
                <w:tcPr>
                  <w:tcW w:w="433" w:type="pct"/>
                  <w:vAlign w:val="center"/>
                </w:tcPr>
                <w:p>
                  <w:pPr>
                    <w:pStyle w:val="56"/>
                  </w:pPr>
                  <w:r>
                    <w:t>10</w:t>
                  </w:r>
                </w:p>
              </w:tc>
              <w:tc>
                <w:tcPr>
                  <w:tcW w:w="433" w:type="pct"/>
                  <w:vAlign w:val="center"/>
                </w:tcPr>
                <w:p>
                  <w:pPr>
                    <w:pStyle w:val="56"/>
                  </w:pPr>
                  <w:r>
                    <w:rPr>
                      <w:rFonts w:hint="eastAsia"/>
                    </w:rPr>
                    <w:t>6.518</w:t>
                  </w:r>
                </w:p>
              </w:tc>
              <w:tc>
                <w:tcPr>
                  <w:tcW w:w="422" w:type="pct"/>
                  <w:vAlign w:val="center"/>
                </w:tcPr>
                <w:p>
                  <w:pPr>
                    <w:pStyle w:val="56"/>
                  </w:pPr>
                  <w:r>
                    <w:rPr>
                      <w:rFonts w:hint="eastAsia"/>
                    </w:rPr>
                    <w:t>4</w:t>
                  </w:r>
                  <w:r>
                    <w:t>0</w:t>
                  </w:r>
                </w:p>
              </w:tc>
              <w:tc>
                <w:tcPr>
                  <w:tcW w:w="406" w:type="pct"/>
                  <w:vAlign w:val="center"/>
                </w:tcPr>
                <w:p>
                  <w:pPr>
                    <w:pStyle w:val="56"/>
                  </w:pPr>
                  <w:r>
                    <w:rPr>
                      <w:rFonts w:hint="eastAsia"/>
                    </w:rPr>
                    <w:t>/</w:t>
                  </w:r>
                </w:p>
              </w:tc>
              <w:tc>
                <w:tcPr>
                  <w:tcW w:w="463" w:type="pct"/>
                  <w:vAlign w:val="center"/>
                </w:tcPr>
                <w:p>
                  <w:pPr>
                    <w:pStyle w:val="56"/>
                  </w:pPr>
                  <w:r>
                    <w:rPr>
                      <w:rFonts w:hint="eastAsia"/>
                    </w:rPr>
                    <w:t>2.607</w:t>
                  </w:r>
                </w:p>
              </w:tc>
              <w:tc>
                <w:tcPr>
                  <w:tcW w:w="460" w:type="pct"/>
                  <w:vAlign w:val="center"/>
                </w:tcPr>
                <w:p>
                  <w:pPr>
                    <w:pStyle w:val="56"/>
                  </w:pPr>
                  <w:r>
                    <w:rPr>
                      <w:rFonts w:hint="eastAsia"/>
                    </w:rPr>
                    <w:t>3.911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rFonts w:hint="eastAsia"/>
                      <w:sz w:val="22"/>
                      <w:szCs w:val="28"/>
                      <w:lang w:val="en-US"/>
                    </w:rPr>
                    <w:t>2</w:t>
                  </w:r>
                </w:p>
              </w:tc>
              <w:tc>
                <w:tcPr>
                  <w:tcW w:w="746" w:type="pct"/>
                  <w:vAlign w:val="center"/>
                </w:tcPr>
                <w:p>
                  <w:pPr>
                    <w:pStyle w:val="56"/>
                  </w:pPr>
                  <w:r>
                    <w:rPr>
                      <w:rFonts w:hint="eastAsia"/>
                    </w:rPr>
                    <w:t>PCR实验室1试剂准备室</w:t>
                  </w:r>
                </w:p>
              </w:tc>
              <w:tc>
                <w:tcPr>
                  <w:tcW w:w="492" w:type="pct"/>
                  <w:vAlign w:val="center"/>
                </w:tcPr>
                <w:p>
                  <w:pPr>
                    <w:pStyle w:val="56"/>
                  </w:pPr>
                  <w:r>
                    <w:rPr>
                      <w:rFonts w:hint="eastAsia"/>
                    </w:rPr>
                    <w:t>5</w:t>
                  </w:r>
                  <w:r>
                    <w:t>0</w:t>
                  </w:r>
                  <w:r>
                    <w:rPr>
                      <w:rFonts w:hint="eastAsia"/>
                    </w:rPr>
                    <w:t>瓶</w:t>
                  </w:r>
                  <w:r>
                    <w:rPr>
                      <w:rFonts w:hint="eastAsia"/>
                      <w:lang w:eastAsia="zh-CN"/>
                    </w:rPr>
                    <w:t>（</w:t>
                  </w:r>
                  <w:r>
                    <w:t>15</w:t>
                  </w:r>
                  <w:r>
                    <w:rPr>
                      <w:rFonts w:hint="eastAsia"/>
                    </w:rPr>
                    <w:t>L</w:t>
                  </w:r>
                  <w:r>
                    <w:rPr>
                      <w:rFonts w:hint="eastAsia"/>
                      <w:lang w:eastAsia="zh-CN"/>
                    </w:rPr>
                    <w:t>）</w:t>
                  </w:r>
                </w:p>
              </w:tc>
              <w:tc>
                <w:tcPr>
                  <w:tcW w:w="433" w:type="pct"/>
                  <w:vAlign w:val="center"/>
                </w:tcPr>
                <w:p>
                  <w:pPr>
                    <w:pStyle w:val="56"/>
                  </w:pPr>
                  <w:r>
                    <w:t>10</w:t>
                  </w:r>
                </w:p>
              </w:tc>
              <w:tc>
                <w:tcPr>
                  <w:tcW w:w="433" w:type="pct"/>
                  <w:vAlign w:val="center"/>
                </w:tcPr>
                <w:p>
                  <w:pPr>
                    <w:pStyle w:val="56"/>
                  </w:pPr>
                  <w:r>
                    <w:rPr>
                      <w:rFonts w:hint="eastAsia"/>
                    </w:rPr>
                    <w:t>0.5</w:t>
                  </w:r>
                </w:p>
              </w:tc>
              <w:tc>
                <w:tcPr>
                  <w:tcW w:w="433" w:type="pct"/>
                  <w:vAlign w:val="center"/>
                </w:tcPr>
                <w:p>
                  <w:pPr>
                    <w:pStyle w:val="56"/>
                  </w:pPr>
                  <w:r>
                    <w:t>5</w:t>
                  </w:r>
                </w:p>
              </w:tc>
              <w:tc>
                <w:tcPr>
                  <w:tcW w:w="433" w:type="pct"/>
                  <w:vAlign w:val="center"/>
                </w:tcPr>
                <w:p>
                  <w:pPr>
                    <w:pStyle w:val="56"/>
                  </w:pPr>
                  <w:r>
                    <w:rPr>
                      <w:rFonts w:hint="eastAsia"/>
                    </w:rPr>
                    <w:t>3.259</w:t>
                  </w:r>
                </w:p>
              </w:tc>
              <w:tc>
                <w:tcPr>
                  <w:tcW w:w="422" w:type="pct"/>
                  <w:vAlign w:val="center"/>
                </w:tcPr>
                <w:p>
                  <w:pPr>
                    <w:pStyle w:val="56"/>
                  </w:pPr>
                  <w:r>
                    <w:rPr>
                      <w:rFonts w:hint="eastAsia"/>
                    </w:rPr>
                    <w:t>4</w:t>
                  </w:r>
                  <w:r>
                    <w:t>0</w:t>
                  </w:r>
                </w:p>
              </w:tc>
              <w:tc>
                <w:tcPr>
                  <w:tcW w:w="406" w:type="pct"/>
                  <w:vAlign w:val="center"/>
                </w:tcPr>
                <w:p>
                  <w:pPr>
                    <w:pStyle w:val="56"/>
                  </w:pPr>
                  <w:r>
                    <w:rPr>
                      <w:rFonts w:hint="eastAsia"/>
                    </w:rPr>
                    <w:t>/</w:t>
                  </w:r>
                </w:p>
              </w:tc>
              <w:tc>
                <w:tcPr>
                  <w:tcW w:w="463" w:type="pct"/>
                  <w:vAlign w:val="center"/>
                </w:tcPr>
                <w:p>
                  <w:pPr>
                    <w:pStyle w:val="56"/>
                  </w:pPr>
                  <w:r>
                    <w:rPr>
                      <w:rFonts w:hint="eastAsia"/>
                    </w:rPr>
                    <w:t>1.304</w:t>
                  </w:r>
                </w:p>
              </w:tc>
              <w:tc>
                <w:tcPr>
                  <w:tcW w:w="460" w:type="pct"/>
                  <w:vAlign w:val="center"/>
                </w:tcPr>
                <w:p>
                  <w:pPr>
                    <w:pStyle w:val="56"/>
                  </w:pPr>
                  <w:r>
                    <w:rPr>
                      <w:rFonts w:hint="eastAsia"/>
                    </w:rPr>
                    <w:t>1.955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rFonts w:hint="eastAsia"/>
                      <w:sz w:val="22"/>
                      <w:szCs w:val="28"/>
                      <w:lang w:val="en-US"/>
                    </w:rPr>
                    <w:t>3</w:t>
                  </w:r>
                </w:p>
              </w:tc>
              <w:tc>
                <w:tcPr>
                  <w:tcW w:w="746" w:type="pct"/>
                  <w:vAlign w:val="center"/>
                </w:tcPr>
                <w:p>
                  <w:pPr>
                    <w:pStyle w:val="56"/>
                  </w:pPr>
                  <w:r>
                    <w:rPr>
                      <w:rFonts w:hint="eastAsia"/>
                    </w:rPr>
                    <w:t>PCR实验室2样本制备室</w:t>
                  </w:r>
                </w:p>
              </w:tc>
              <w:tc>
                <w:tcPr>
                  <w:tcW w:w="492" w:type="pct"/>
                  <w:vAlign w:val="center"/>
                </w:tcPr>
                <w:p>
                  <w:pPr>
                    <w:pStyle w:val="56"/>
                  </w:pPr>
                  <w:r>
                    <w:t>250</w:t>
                  </w:r>
                  <w:r>
                    <w:rPr>
                      <w:rFonts w:hint="eastAsia"/>
                    </w:rPr>
                    <w:t>瓶</w:t>
                  </w:r>
                  <w:r>
                    <w:rPr>
                      <w:rFonts w:hint="eastAsia"/>
                      <w:lang w:eastAsia="zh-CN"/>
                    </w:rPr>
                    <w:t>（</w:t>
                  </w:r>
                  <w:r>
                    <w:t>75</w:t>
                  </w:r>
                  <w:r>
                    <w:rPr>
                      <w:rFonts w:hint="eastAsia"/>
                    </w:rPr>
                    <w:t>L</w:t>
                  </w:r>
                  <w:r>
                    <w:rPr>
                      <w:rFonts w:hint="eastAsia"/>
                      <w:lang w:eastAsia="zh-CN"/>
                    </w:rPr>
                    <w:t>）</w:t>
                  </w:r>
                </w:p>
              </w:tc>
              <w:tc>
                <w:tcPr>
                  <w:tcW w:w="433" w:type="pct"/>
                  <w:vAlign w:val="center"/>
                </w:tcPr>
                <w:p>
                  <w:pPr>
                    <w:pStyle w:val="56"/>
                  </w:pPr>
                  <w:r>
                    <w:t>50</w:t>
                  </w:r>
                </w:p>
              </w:tc>
              <w:tc>
                <w:tcPr>
                  <w:tcW w:w="433" w:type="pct"/>
                  <w:vAlign w:val="center"/>
                </w:tcPr>
                <w:p>
                  <w:pPr>
                    <w:pStyle w:val="56"/>
                  </w:pPr>
                  <w:r>
                    <w:rPr>
                      <w:rFonts w:hint="eastAsia"/>
                    </w:rPr>
                    <w:t>2.5</w:t>
                  </w:r>
                </w:p>
              </w:tc>
              <w:tc>
                <w:tcPr>
                  <w:tcW w:w="433" w:type="pct"/>
                  <w:vAlign w:val="center"/>
                </w:tcPr>
                <w:p>
                  <w:pPr>
                    <w:pStyle w:val="56"/>
                  </w:pPr>
                  <w:r>
                    <w:rPr>
                      <w:rFonts w:hint="eastAsia"/>
                    </w:rPr>
                    <w:t>2</w:t>
                  </w:r>
                  <w:r>
                    <w:t>5</w:t>
                  </w:r>
                </w:p>
              </w:tc>
              <w:tc>
                <w:tcPr>
                  <w:tcW w:w="433" w:type="pct"/>
                  <w:vAlign w:val="center"/>
                </w:tcPr>
                <w:p>
                  <w:pPr>
                    <w:pStyle w:val="56"/>
                  </w:pPr>
                  <w:r>
                    <w:rPr>
                      <w:rFonts w:hint="eastAsia"/>
                    </w:rPr>
                    <w:t>16.294</w:t>
                  </w:r>
                </w:p>
              </w:tc>
              <w:tc>
                <w:tcPr>
                  <w:tcW w:w="422" w:type="pct"/>
                  <w:vAlign w:val="center"/>
                </w:tcPr>
                <w:p>
                  <w:pPr>
                    <w:pStyle w:val="56"/>
                  </w:pPr>
                  <w:r>
                    <w:rPr>
                      <w:rFonts w:hint="eastAsia"/>
                    </w:rPr>
                    <w:t>4</w:t>
                  </w:r>
                  <w:r>
                    <w:t>0</w:t>
                  </w:r>
                </w:p>
              </w:tc>
              <w:tc>
                <w:tcPr>
                  <w:tcW w:w="406" w:type="pct"/>
                  <w:vAlign w:val="center"/>
                </w:tcPr>
                <w:p>
                  <w:pPr>
                    <w:pStyle w:val="56"/>
                  </w:pPr>
                  <w:r>
                    <w:rPr>
                      <w:rFonts w:hint="eastAsia"/>
                    </w:rPr>
                    <w:t>/</w:t>
                  </w:r>
                </w:p>
              </w:tc>
              <w:tc>
                <w:tcPr>
                  <w:tcW w:w="463" w:type="pct"/>
                  <w:vAlign w:val="center"/>
                </w:tcPr>
                <w:p>
                  <w:pPr>
                    <w:pStyle w:val="56"/>
                  </w:pPr>
                  <w:r>
                    <w:rPr>
                      <w:rFonts w:hint="eastAsia"/>
                    </w:rPr>
                    <w:t>6.518</w:t>
                  </w:r>
                </w:p>
              </w:tc>
              <w:tc>
                <w:tcPr>
                  <w:tcW w:w="460" w:type="pct"/>
                  <w:vAlign w:val="center"/>
                </w:tcPr>
                <w:p>
                  <w:pPr>
                    <w:pStyle w:val="56"/>
                  </w:pPr>
                  <w:r>
                    <w:rPr>
                      <w:rFonts w:hint="eastAsia"/>
                    </w:rPr>
                    <w:t>9.776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rFonts w:hint="eastAsia"/>
                      <w:sz w:val="22"/>
                      <w:szCs w:val="28"/>
                      <w:lang w:val="en-US"/>
                    </w:rPr>
                    <w:t>4</w:t>
                  </w:r>
                </w:p>
              </w:tc>
              <w:tc>
                <w:tcPr>
                  <w:tcW w:w="746" w:type="pct"/>
                  <w:vAlign w:val="center"/>
                </w:tcPr>
                <w:p>
                  <w:pPr>
                    <w:pStyle w:val="56"/>
                  </w:pPr>
                  <w:r>
                    <w:rPr>
                      <w:rFonts w:hint="eastAsia"/>
                    </w:rPr>
                    <w:t>PCR实验室2扩增及分析室</w:t>
                  </w:r>
                </w:p>
              </w:tc>
              <w:tc>
                <w:tcPr>
                  <w:tcW w:w="492" w:type="pct"/>
                  <w:vAlign w:val="center"/>
                </w:tcPr>
                <w:p>
                  <w:pPr>
                    <w:pStyle w:val="56"/>
                  </w:pPr>
                  <w:r>
                    <w:rPr>
                      <w:rFonts w:hint="eastAsia"/>
                    </w:rPr>
                    <w:t>1</w:t>
                  </w:r>
                  <w:r>
                    <w:t>00</w:t>
                  </w:r>
                  <w:r>
                    <w:rPr>
                      <w:rFonts w:hint="eastAsia"/>
                    </w:rPr>
                    <w:t>瓶</w:t>
                  </w:r>
                  <w:r>
                    <w:rPr>
                      <w:rFonts w:hint="eastAsia"/>
                      <w:lang w:eastAsia="zh-CN"/>
                    </w:rPr>
                    <w:t>（</w:t>
                  </w:r>
                  <w:r>
                    <w:t>30</w:t>
                  </w:r>
                  <w:r>
                    <w:rPr>
                      <w:rFonts w:hint="eastAsia"/>
                    </w:rPr>
                    <w:t>L</w:t>
                  </w:r>
                  <w:r>
                    <w:rPr>
                      <w:rFonts w:hint="eastAsia"/>
                      <w:lang w:eastAsia="zh-CN"/>
                    </w:rPr>
                    <w:t>）</w:t>
                  </w:r>
                </w:p>
              </w:tc>
              <w:tc>
                <w:tcPr>
                  <w:tcW w:w="433" w:type="pct"/>
                  <w:vAlign w:val="center"/>
                </w:tcPr>
                <w:p>
                  <w:pPr>
                    <w:pStyle w:val="56"/>
                  </w:pPr>
                  <w:r>
                    <w:t>20</w:t>
                  </w:r>
                </w:p>
              </w:tc>
              <w:tc>
                <w:tcPr>
                  <w:tcW w:w="433" w:type="pct"/>
                  <w:vAlign w:val="center"/>
                </w:tcPr>
                <w:p>
                  <w:pPr>
                    <w:pStyle w:val="56"/>
                  </w:pPr>
                  <w:r>
                    <w:rPr>
                      <w:rFonts w:hint="eastAsia"/>
                    </w:rPr>
                    <w:t>1</w:t>
                  </w:r>
                </w:p>
              </w:tc>
              <w:tc>
                <w:tcPr>
                  <w:tcW w:w="433" w:type="pct"/>
                  <w:vAlign w:val="center"/>
                </w:tcPr>
                <w:p>
                  <w:pPr>
                    <w:pStyle w:val="56"/>
                  </w:pPr>
                  <w:r>
                    <w:t>10</w:t>
                  </w:r>
                </w:p>
              </w:tc>
              <w:tc>
                <w:tcPr>
                  <w:tcW w:w="433" w:type="pct"/>
                  <w:vAlign w:val="center"/>
                </w:tcPr>
                <w:p>
                  <w:pPr>
                    <w:pStyle w:val="56"/>
                  </w:pPr>
                  <w:r>
                    <w:rPr>
                      <w:rFonts w:hint="eastAsia"/>
                    </w:rPr>
                    <w:t>6.518</w:t>
                  </w:r>
                </w:p>
              </w:tc>
              <w:tc>
                <w:tcPr>
                  <w:tcW w:w="422" w:type="pct"/>
                  <w:vAlign w:val="center"/>
                </w:tcPr>
                <w:p>
                  <w:pPr>
                    <w:pStyle w:val="56"/>
                  </w:pPr>
                  <w:r>
                    <w:rPr>
                      <w:rFonts w:hint="eastAsia"/>
                    </w:rPr>
                    <w:t>4</w:t>
                  </w:r>
                  <w:r>
                    <w:t>0</w:t>
                  </w:r>
                </w:p>
              </w:tc>
              <w:tc>
                <w:tcPr>
                  <w:tcW w:w="406" w:type="pct"/>
                  <w:vAlign w:val="center"/>
                </w:tcPr>
                <w:p>
                  <w:pPr>
                    <w:pStyle w:val="56"/>
                  </w:pPr>
                  <w:r>
                    <w:rPr>
                      <w:rFonts w:hint="eastAsia"/>
                    </w:rPr>
                    <w:t>/</w:t>
                  </w:r>
                </w:p>
              </w:tc>
              <w:tc>
                <w:tcPr>
                  <w:tcW w:w="463" w:type="pct"/>
                  <w:vAlign w:val="center"/>
                </w:tcPr>
                <w:p>
                  <w:pPr>
                    <w:pStyle w:val="56"/>
                  </w:pPr>
                  <w:r>
                    <w:rPr>
                      <w:rFonts w:hint="eastAsia"/>
                    </w:rPr>
                    <w:t>2.607</w:t>
                  </w:r>
                </w:p>
              </w:tc>
              <w:tc>
                <w:tcPr>
                  <w:tcW w:w="460" w:type="pct"/>
                  <w:vAlign w:val="center"/>
                </w:tcPr>
                <w:p>
                  <w:pPr>
                    <w:pStyle w:val="56"/>
                  </w:pPr>
                  <w:r>
                    <w:rPr>
                      <w:rFonts w:hint="eastAsia"/>
                    </w:rPr>
                    <w:t>3.911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sz w:val="22"/>
                      <w:szCs w:val="28"/>
                      <w:lang w:val="en-US"/>
                    </w:rPr>
                    <w:t>5</w:t>
                  </w:r>
                </w:p>
              </w:tc>
              <w:tc>
                <w:tcPr>
                  <w:tcW w:w="746" w:type="pct"/>
                  <w:vAlign w:val="center"/>
                </w:tcPr>
                <w:p>
                  <w:pPr>
                    <w:pStyle w:val="56"/>
                  </w:pPr>
                  <w:r>
                    <w:rPr>
                      <w:rFonts w:hint="eastAsia"/>
                    </w:rPr>
                    <w:t>PCR实验室3试剂准备室</w:t>
                  </w:r>
                </w:p>
              </w:tc>
              <w:tc>
                <w:tcPr>
                  <w:tcW w:w="492" w:type="pct"/>
                  <w:vAlign w:val="center"/>
                </w:tcPr>
                <w:p>
                  <w:pPr>
                    <w:pStyle w:val="56"/>
                  </w:pPr>
                  <w:r>
                    <w:t>50</w:t>
                  </w:r>
                  <w:r>
                    <w:rPr>
                      <w:rFonts w:hint="eastAsia"/>
                    </w:rPr>
                    <w:t>瓶</w:t>
                  </w:r>
                  <w:r>
                    <w:rPr>
                      <w:rFonts w:hint="eastAsia"/>
                      <w:lang w:eastAsia="zh-CN"/>
                    </w:rPr>
                    <w:t>（</w:t>
                  </w:r>
                  <w:r>
                    <w:t>15</w:t>
                  </w:r>
                  <w:r>
                    <w:rPr>
                      <w:rFonts w:hint="eastAsia"/>
                    </w:rPr>
                    <w:t>L</w:t>
                  </w:r>
                  <w:r>
                    <w:rPr>
                      <w:rFonts w:hint="eastAsia"/>
                      <w:lang w:eastAsia="zh-CN"/>
                    </w:rPr>
                    <w:t>）</w:t>
                  </w:r>
                </w:p>
              </w:tc>
              <w:tc>
                <w:tcPr>
                  <w:tcW w:w="433" w:type="pct"/>
                  <w:vAlign w:val="center"/>
                </w:tcPr>
                <w:p>
                  <w:pPr>
                    <w:pStyle w:val="56"/>
                  </w:pPr>
                  <w:r>
                    <w:t>10</w:t>
                  </w:r>
                </w:p>
              </w:tc>
              <w:tc>
                <w:tcPr>
                  <w:tcW w:w="433" w:type="pct"/>
                  <w:vAlign w:val="center"/>
                </w:tcPr>
                <w:p>
                  <w:pPr>
                    <w:pStyle w:val="56"/>
                  </w:pPr>
                  <w:r>
                    <w:rPr>
                      <w:rFonts w:hint="eastAsia"/>
                    </w:rPr>
                    <w:t>0.5</w:t>
                  </w:r>
                </w:p>
              </w:tc>
              <w:tc>
                <w:tcPr>
                  <w:tcW w:w="433" w:type="pct"/>
                  <w:vAlign w:val="center"/>
                </w:tcPr>
                <w:p>
                  <w:pPr>
                    <w:pStyle w:val="56"/>
                  </w:pPr>
                  <w:r>
                    <w:rPr>
                      <w:rFonts w:hint="eastAsia"/>
                    </w:rPr>
                    <w:t>5</w:t>
                  </w:r>
                </w:p>
              </w:tc>
              <w:tc>
                <w:tcPr>
                  <w:tcW w:w="433" w:type="pct"/>
                  <w:vAlign w:val="center"/>
                </w:tcPr>
                <w:p>
                  <w:pPr>
                    <w:pStyle w:val="56"/>
                  </w:pPr>
                  <w:r>
                    <w:rPr>
                      <w:rFonts w:hint="eastAsia"/>
                    </w:rPr>
                    <w:t>3.259</w:t>
                  </w:r>
                </w:p>
              </w:tc>
              <w:tc>
                <w:tcPr>
                  <w:tcW w:w="422" w:type="pct"/>
                  <w:vAlign w:val="center"/>
                </w:tcPr>
                <w:p>
                  <w:pPr>
                    <w:pStyle w:val="56"/>
                  </w:pPr>
                  <w:r>
                    <w:rPr>
                      <w:rFonts w:hint="eastAsia"/>
                    </w:rPr>
                    <w:t>4</w:t>
                  </w:r>
                  <w:r>
                    <w:t>0</w:t>
                  </w:r>
                </w:p>
              </w:tc>
              <w:tc>
                <w:tcPr>
                  <w:tcW w:w="406" w:type="pct"/>
                  <w:vAlign w:val="center"/>
                </w:tcPr>
                <w:p>
                  <w:pPr>
                    <w:pStyle w:val="56"/>
                  </w:pPr>
                  <w:r>
                    <w:rPr>
                      <w:rFonts w:hint="eastAsia"/>
                    </w:rPr>
                    <w:t>/</w:t>
                  </w:r>
                </w:p>
              </w:tc>
              <w:tc>
                <w:tcPr>
                  <w:tcW w:w="463" w:type="pct"/>
                  <w:vAlign w:val="center"/>
                </w:tcPr>
                <w:p>
                  <w:pPr>
                    <w:pStyle w:val="56"/>
                  </w:pPr>
                  <w:r>
                    <w:rPr>
                      <w:rFonts w:hint="eastAsia"/>
                    </w:rPr>
                    <w:t>1.304</w:t>
                  </w:r>
                </w:p>
              </w:tc>
              <w:tc>
                <w:tcPr>
                  <w:tcW w:w="460" w:type="pct"/>
                  <w:vAlign w:val="center"/>
                </w:tcPr>
                <w:p>
                  <w:pPr>
                    <w:pStyle w:val="56"/>
                  </w:pPr>
                  <w:r>
                    <w:rPr>
                      <w:rFonts w:hint="eastAsia"/>
                    </w:rPr>
                    <w:t>1.955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rFonts w:hint="eastAsia"/>
                      <w:sz w:val="22"/>
                      <w:szCs w:val="28"/>
                      <w:lang w:val="en-US"/>
                    </w:rPr>
                    <w:t>6</w:t>
                  </w:r>
                </w:p>
              </w:tc>
              <w:tc>
                <w:tcPr>
                  <w:tcW w:w="746" w:type="pct"/>
                  <w:vAlign w:val="center"/>
                </w:tcPr>
                <w:p>
                  <w:pPr>
                    <w:pStyle w:val="56"/>
                  </w:pPr>
                  <w:r>
                    <w:rPr>
                      <w:rFonts w:hint="eastAsia"/>
                    </w:rPr>
                    <w:t>PCR实验室3样本制备室</w:t>
                  </w:r>
                </w:p>
              </w:tc>
              <w:tc>
                <w:tcPr>
                  <w:tcW w:w="492" w:type="pct"/>
                  <w:vAlign w:val="center"/>
                </w:tcPr>
                <w:p>
                  <w:pPr>
                    <w:pStyle w:val="56"/>
                  </w:pPr>
                  <w:r>
                    <w:rPr>
                      <w:rFonts w:hint="eastAsia"/>
                    </w:rPr>
                    <w:t>2</w:t>
                  </w:r>
                  <w:r>
                    <w:t>00</w:t>
                  </w:r>
                  <w:r>
                    <w:rPr>
                      <w:rFonts w:hint="eastAsia"/>
                    </w:rPr>
                    <w:t>瓶</w:t>
                  </w:r>
                  <w:r>
                    <w:rPr>
                      <w:rFonts w:hint="eastAsia"/>
                      <w:lang w:eastAsia="zh-CN"/>
                    </w:rPr>
                    <w:t>（</w:t>
                  </w:r>
                  <w:r>
                    <w:t>60</w:t>
                  </w:r>
                  <w:r>
                    <w:rPr>
                      <w:rFonts w:hint="eastAsia"/>
                    </w:rPr>
                    <w:t>L</w:t>
                  </w:r>
                  <w:r>
                    <w:rPr>
                      <w:rFonts w:hint="eastAsia"/>
                      <w:lang w:eastAsia="zh-CN"/>
                    </w:rPr>
                    <w:t>）</w:t>
                  </w:r>
                </w:p>
              </w:tc>
              <w:tc>
                <w:tcPr>
                  <w:tcW w:w="433" w:type="pct"/>
                  <w:vAlign w:val="center"/>
                </w:tcPr>
                <w:p>
                  <w:pPr>
                    <w:pStyle w:val="56"/>
                  </w:pPr>
                  <w:r>
                    <w:t>40</w:t>
                  </w:r>
                </w:p>
              </w:tc>
              <w:tc>
                <w:tcPr>
                  <w:tcW w:w="433" w:type="pct"/>
                  <w:vAlign w:val="center"/>
                </w:tcPr>
                <w:p>
                  <w:pPr>
                    <w:pStyle w:val="56"/>
                  </w:pPr>
                  <w:r>
                    <w:rPr>
                      <w:rFonts w:hint="eastAsia"/>
                    </w:rPr>
                    <w:t>2</w:t>
                  </w:r>
                </w:p>
              </w:tc>
              <w:tc>
                <w:tcPr>
                  <w:tcW w:w="433" w:type="pct"/>
                  <w:vAlign w:val="center"/>
                </w:tcPr>
                <w:p>
                  <w:pPr>
                    <w:pStyle w:val="56"/>
                  </w:pPr>
                  <w:r>
                    <w:t>20</w:t>
                  </w:r>
                </w:p>
              </w:tc>
              <w:tc>
                <w:tcPr>
                  <w:tcW w:w="433" w:type="pct"/>
                  <w:vAlign w:val="center"/>
                </w:tcPr>
                <w:p>
                  <w:pPr>
                    <w:pStyle w:val="56"/>
                  </w:pPr>
                  <w:r>
                    <w:rPr>
                      <w:rFonts w:hint="eastAsia"/>
                    </w:rPr>
                    <w:t>13.035</w:t>
                  </w:r>
                </w:p>
              </w:tc>
              <w:tc>
                <w:tcPr>
                  <w:tcW w:w="422" w:type="pct"/>
                  <w:vAlign w:val="center"/>
                </w:tcPr>
                <w:p>
                  <w:pPr>
                    <w:pStyle w:val="56"/>
                  </w:pPr>
                  <w:r>
                    <w:rPr>
                      <w:rFonts w:hint="eastAsia"/>
                    </w:rPr>
                    <w:t>4</w:t>
                  </w:r>
                  <w:r>
                    <w:t>0</w:t>
                  </w:r>
                </w:p>
              </w:tc>
              <w:tc>
                <w:tcPr>
                  <w:tcW w:w="406" w:type="pct"/>
                  <w:vAlign w:val="center"/>
                </w:tcPr>
                <w:p>
                  <w:pPr>
                    <w:pStyle w:val="56"/>
                  </w:pPr>
                  <w:r>
                    <w:rPr>
                      <w:rFonts w:hint="eastAsia"/>
                    </w:rPr>
                    <w:t>/</w:t>
                  </w:r>
                </w:p>
              </w:tc>
              <w:tc>
                <w:tcPr>
                  <w:tcW w:w="463" w:type="pct"/>
                  <w:vAlign w:val="center"/>
                </w:tcPr>
                <w:p>
                  <w:pPr>
                    <w:pStyle w:val="56"/>
                  </w:pPr>
                  <w:r>
                    <w:rPr>
                      <w:rFonts w:hint="eastAsia"/>
                    </w:rPr>
                    <w:t>5.214</w:t>
                  </w:r>
                </w:p>
              </w:tc>
              <w:tc>
                <w:tcPr>
                  <w:tcW w:w="460" w:type="pct"/>
                  <w:vAlign w:val="center"/>
                </w:tcPr>
                <w:p>
                  <w:pPr>
                    <w:pStyle w:val="56"/>
                  </w:pPr>
                  <w:r>
                    <w:rPr>
                      <w:rFonts w:hint="eastAsia"/>
                    </w:rPr>
                    <w:t>7.821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rFonts w:hint="eastAsia"/>
                      <w:sz w:val="22"/>
                      <w:szCs w:val="28"/>
                      <w:lang w:val="en-US"/>
                    </w:rPr>
                    <w:t>7</w:t>
                  </w:r>
                </w:p>
              </w:tc>
              <w:tc>
                <w:tcPr>
                  <w:tcW w:w="746" w:type="pct"/>
                  <w:vAlign w:val="center"/>
                </w:tcPr>
                <w:p>
                  <w:pPr>
                    <w:pStyle w:val="56"/>
                  </w:pPr>
                  <w:r>
                    <w:rPr>
                      <w:rFonts w:hint="eastAsia"/>
                    </w:rPr>
                    <w:t>PCR实验室3扩增及分析室</w:t>
                  </w:r>
                </w:p>
              </w:tc>
              <w:tc>
                <w:tcPr>
                  <w:tcW w:w="492" w:type="pct"/>
                  <w:vAlign w:val="center"/>
                </w:tcPr>
                <w:p>
                  <w:pPr>
                    <w:pStyle w:val="56"/>
                  </w:pPr>
                  <w:r>
                    <w:rPr>
                      <w:rFonts w:hint="eastAsia"/>
                    </w:rPr>
                    <w:t>5</w:t>
                  </w:r>
                  <w:r>
                    <w:t>0</w:t>
                  </w:r>
                  <w:r>
                    <w:rPr>
                      <w:rFonts w:hint="eastAsia"/>
                    </w:rPr>
                    <w:t>瓶</w:t>
                  </w:r>
                  <w:r>
                    <w:rPr>
                      <w:rFonts w:hint="eastAsia"/>
                      <w:lang w:eastAsia="zh-CN"/>
                    </w:rPr>
                    <w:t>（</w:t>
                  </w:r>
                  <w:r>
                    <w:t>15</w:t>
                  </w:r>
                  <w:r>
                    <w:rPr>
                      <w:rFonts w:hint="eastAsia"/>
                    </w:rPr>
                    <w:t>L</w:t>
                  </w:r>
                  <w:r>
                    <w:rPr>
                      <w:rFonts w:hint="eastAsia"/>
                      <w:lang w:eastAsia="zh-CN"/>
                    </w:rPr>
                    <w:t>）</w:t>
                  </w:r>
                </w:p>
              </w:tc>
              <w:tc>
                <w:tcPr>
                  <w:tcW w:w="433" w:type="pct"/>
                  <w:vAlign w:val="center"/>
                </w:tcPr>
                <w:p>
                  <w:pPr>
                    <w:pStyle w:val="56"/>
                  </w:pPr>
                  <w:r>
                    <w:t>10</w:t>
                  </w:r>
                </w:p>
              </w:tc>
              <w:tc>
                <w:tcPr>
                  <w:tcW w:w="433" w:type="pct"/>
                  <w:vAlign w:val="center"/>
                </w:tcPr>
                <w:p>
                  <w:pPr>
                    <w:pStyle w:val="56"/>
                  </w:pPr>
                  <w:r>
                    <w:rPr>
                      <w:rFonts w:hint="eastAsia"/>
                    </w:rPr>
                    <w:t>0.5</w:t>
                  </w:r>
                </w:p>
              </w:tc>
              <w:tc>
                <w:tcPr>
                  <w:tcW w:w="433" w:type="pct"/>
                  <w:vAlign w:val="center"/>
                </w:tcPr>
                <w:p>
                  <w:pPr>
                    <w:pStyle w:val="56"/>
                  </w:pPr>
                  <w:r>
                    <w:t>5</w:t>
                  </w:r>
                </w:p>
              </w:tc>
              <w:tc>
                <w:tcPr>
                  <w:tcW w:w="433" w:type="pct"/>
                  <w:vAlign w:val="center"/>
                </w:tcPr>
                <w:p>
                  <w:pPr>
                    <w:pStyle w:val="56"/>
                  </w:pPr>
                  <w:r>
                    <w:rPr>
                      <w:rFonts w:hint="eastAsia"/>
                    </w:rPr>
                    <w:t>3.259</w:t>
                  </w:r>
                </w:p>
              </w:tc>
              <w:tc>
                <w:tcPr>
                  <w:tcW w:w="422" w:type="pct"/>
                  <w:vAlign w:val="center"/>
                </w:tcPr>
                <w:p>
                  <w:pPr>
                    <w:pStyle w:val="56"/>
                  </w:pPr>
                  <w:r>
                    <w:rPr>
                      <w:rFonts w:hint="eastAsia"/>
                    </w:rPr>
                    <w:t>4</w:t>
                  </w:r>
                  <w:r>
                    <w:t>0</w:t>
                  </w:r>
                </w:p>
              </w:tc>
              <w:tc>
                <w:tcPr>
                  <w:tcW w:w="406" w:type="pct"/>
                  <w:vAlign w:val="center"/>
                </w:tcPr>
                <w:p>
                  <w:pPr>
                    <w:pStyle w:val="56"/>
                  </w:pPr>
                  <w:r>
                    <w:rPr>
                      <w:rFonts w:hint="eastAsia"/>
                    </w:rPr>
                    <w:t>/</w:t>
                  </w:r>
                </w:p>
              </w:tc>
              <w:tc>
                <w:tcPr>
                  <w:tcW w:w="463" w:type="pct"/>
                  <w:vAlign w:val="center"/>
                </w:tcPr>
                <w:p>
                  <w:pPr>
                    <w:pStyle w:val="56"/>
                  </w:pPr>
                  <w:r>
                    <w:rPr>
                      <w:rFonts w:hint="eastAsia"/>
                    </w:rPr>
                    <w:t>1.304</w:t>
                  </w:r>
                </w:p>
              </w:tc>
              <w:tc>
                <w:tcPr>
                  <w:tcW w:w="460" w:type="pct"/>
                  <w:vAlign w:val="center"/>
                </w:tcPr>
                <w:p>
                  <w:pPr>
                    <w:pStyle w:val="56"/>
                  </w:pPr>
                  <w:r>
                    <w:rPr>
                      <w:rFonts w:hint="eastAsia"/>
                    </w:rPr>
                    <w:t>1.955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rFonts w:hint="eastAsia"/>
                      <w:sz w:val="22"/>
                      <w:szCs w:val="28"/>
                      <w:lang w:val="en-US"/>
                    </w:rPr>
                    <w:t>8</w:t>
                  </w:r>
                </w:p>
              </w:tc>
              <w:tc>
                <w:tcPr>
                  <w:tcW w:w="746" w:type="pct"/>
                  <w:vAlign w:val="center"/>
                </w:tcPr>
                <w:p>
                  <w:pPr>
                    <w:pStyle w:val="56"/>
                    <w:rPr>
                      <w:lang w:eastAsia="zh-CN"/>
                    </w:rPr>
                  </w:pPr>
                  <w:r>
                    <w:rPr>
                      <w:rFonts w:hint="eastAsia"/>
                    </w:rPr>
                    <w:t>PCR实验室走廊</w:t>
                  </w:r>
                  <w:r>
                    <w:rPr>
                      <w:rFonts w:hint="eastAsia"/>
                      <w:lang w:eastAsia="zh-CN"/>
                    </w:rPr>
                    <w:t>*</w:t>
                  </w:r>
                </w:p>
              </w:tc>
              <w:tc>
                <w:tcPr>
                  <w:tcW w:w="492" w:type="pct"/>
                  <w:vAlign w:val="center"/>
                </w:tcPr>
                <w:p>
                  <w:pPr>
                    <w:pStyle w:val="56"/>
                  </w:pPr>
                  <w:r>
                    <w:rPr>
                      <w:rFonts w:hint="eastAsia"/>
                    </w:rPr>
                    <w:t>/</w:t>
                  </w:r>
                </w:p>
              </w:tc>
              <w:tc>
                <w:tcPr>
                  <w:tcW w:w="433" w:type="pct"/>
                  <w:vAlign w:val="center"/>
                </w:tcPr>
                <w:p>
                  <w:pPr>
                    <w:pStyle w:val="56"/>
                  </w:pPr>
                  <w:r>
                    <w:rPr>
                      <w:rFonts w:hint="eastAsia"/>
                    </w:rPr>
                    <w:t>/</w:t>
                  </w:r>
                </w:p>
              </w:tc>
              <w:tc>
                <w:tcPr>
                  <w:tcW w:w="433" w:type="pct"/>
                  <w:vAlign w:val="center"/>
                </w:tcPr>
                <w:p>
                  <w:pPr>
                    <w:pStyle w:val="56"/>
                  </w:pPr>
                  <w:r>
                    <w:t>/</w:t>
                  </w:r>
                </w:p>
              </w:tc>
              <w:tc>
                <w:tcPr>
                  <w:tcW w:w="433" w:type="pct"/>
                  <w:vAlign w:val="center"/>
                </w:tcPr>
                <w:p>
                  <w:pPr>
                    <w:pStyle w:val="56"/>
                  </w:pPr>
                  <w:r>
                    <w:rPr>
                      <w:rFonts w:hint="eastAsia"/>
                    </w:rPr>
                    <w:t>/</w:t>
                  </w:r>
                </w:p>
              </w:tc>
              <w:tc>
                <w:tcPr>
                  <w:tcW w:w="433" w:type="pct"/>
                  <w:vAlign w:val="center"/>
                </w:tcPr>
                <w:p>
                  <w:pPr>
                    <w:pStyle w:val="56"/>
                  </w:pPr>
                  <w:r>
                    <w:rPr>
                      <w:rFonts w:hint="eastAsia"/>
                    </w:rPr>
                    <w:t>5.214</w:t>
                  </w:r>
                </w:p>
              </w:tc>
              <w:tc>
                <w:tcPr>
                  <w:tcW w:w="422" w:type="pct"/>
                  <w:vAlign w:val="center"/>
                </w:tcPr>
                <w:p>
                  <w:pPr>
                    <w:pStyle w:val="56"/>
                  </w:pPr>
                  <w:r>
                    <w:rPr>
                      <w:rFonts w:hint="eastAsia"/>
                    </w:rPr>
                    <w:t>4</w:t>
                  </w:r>
                  <w:r>
                    <w:t>0</w:t>
                  </w:r>
                </w:p>
              </w:tc>
              <w:tc>
                <w:tcPr>
                  <w:tcW w:w="406" w:type="pct"/>
                  <w:vAlign w:val="center"/>
                </w:tcPr>
                <w:p>
                  <w:pPr>
                    <w:pStyle w:val="56"/>
                  </w:pPr>
                  <w:r>
                    <w:rPr>
                      <w:rFonts w:hint="eastAsia"/>
                    </w:rPr>
                    <w:t>/</w:t>
                  </w:r>
                </w:p>
              </w:tc>
              <w:tc>
                <w:tcPr>
                  <w:tcW w:w="463" w:type="pct"/>
                  <w:vAlign w:val="center"/>
                </w:tcPr>
                <w:p>
                  <w:pPr>
                    <w:pStyle w:val="56"/>
                  </w:pPr>
                  <w:r>
                    <w:rPr>
                      <w:rFonts w:hint="eastAsia"/>
                    </w:rPr>
                    <w:t>2.086</w:t>
                  </w:r>
                </w:p>
              </w:tc>
              <w:tc>
                <w:tcPr>
                  <w:tcW w:w="460" w:type="pct"/>
                  <w:vAlign w:val="center"/>
                </w:tcPr>
                <w:p>
                  <w:pPr>
                    <w:pStyle w:val="56"/>
                  </w:pPr>
                  <w:r>
                    <w:rPr>
                      <w:rFonts w:hint="eastAsia"/>
                    </w:rPr>
                    <w:t>3.128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rFonts w:hint="eastAsia"/>
                      <w:sz w:val="22"/>
                      <w:szCs w:val="28"/>
                      <w:lang w:val="en-US"/>
                    </w:rPr>
                    <w:t>9</w:t>
                  </w:r>
                </w:p>
              </w:tc>
              <w:tc>
                <w:tcPr>
                  <w:tcW w:w="746" w:type="pct"/>
                  <w:vAlign w:val="center"/>
                </w:tcPr>
                <w:p>
                  <w:pPr>
                    <w:pStyle w:val="56"/>
                    <w:rPr>
                      <w:lang w:eastAsia="zh-CN"/>
                    </w:rPr>
                  </w:pPr>
                  <w:r>
                    <w:rPr>
                      <w:rFonts w:hint="eastAsia"/>
                    </w:rPr>
                    <w:t>NGS实验室</w:t>
                  </w:r>
                </w:p>
              </w:tc>
              <w:tc>
                <w:tcPr>
                  <w:tcW w:w="492" w:type="pct"/>
                  <w:vAlign w:val="center"/>
                </w:tcPr>
                <w:p>
                  <w:pPr>
                    <w:pStyle w:val="56"/>
                  </w:pPr>
                  <w:r>
                    <w:rPr>
                      <w:rFonts w:hint="eastAsia"/>
                    </w:rPr>
                    <w:t>1</w:t>
                  </w:r>
                  <w:r>
                    <w:t>00</w:t>
                  </w:r>
                  <w:r>
                    <w:rPr>
                      <w:rFonts w:hint="eastAsia"/>
                    </w:rPr>
                    <w:t>瓶</w:t>
                  </w:r>
                  <w:r>
                    <w:rPr>
                      <w:rFonts w:hint="eastAsia"/>
                      <w:lang w:eastAsia="zh-CN"/>
                    </w:rPr>
                    <w:t>（</w:t>
                  </w:r>
                  <w:r>
                    <w:t>30</w:t>
                  </w:r>
                  <w:r>
                    <w:rPr>
                      <w:rFonts w:hint="eastAsia"/>
                    </w:rPr>
                    <w:t>L</w:t>
                  </w:r>
                  <w:r>
                    <w:rPr>
                      <w:rFonts w:hint="eastAsia"/>
                      <w:lang w:eastAsia="zh-CN"/>
                    </w:rPr>
                    <w:t>）</w:t>
                  </w:r>
                </w:p>
              </w:tc>
              <w:tc>
                <w:tcPr>
                  <w:tcW w:w="433" w:type="pct"/>
                  <w:vAlign w:val="center"/>
                </w:tcPr>
                <w:p>
                  <w:pPr>
                    <w:pStyle w:val="56"/>
                  </w:pPr>
                  <w:r>
                    <w:t>20</w:t>
                  </w:r>
                </w:p>
              </w:tc>
              <w:tc>
                <w:tcPr>
                  <w:tcW w:w="433" w:type="pct"/>
                  <w:vAlign w:val="center"/>
                </w:tcPr>
                <w:p>
                  <w:pPr>
                    <w:pStyle w:val="56"/>
                  </w:pPr>
                  <w:r>
                    <w:rPr>
                      <w:rFonts w:hint="eastAsia"/>
                    </w:rPr>
                    <w:t>1</w:t>
                  </w:r>
                </w:p>
              </w:tc>
              <w:tc>
                <w:tcPr>
                  <w:tcW w:w="433" w:type="pct"/>
                  <w:vAlign w:val="center"/>
                </w:tcPr>
                <w:p>
                  <w:pPr>
                    <w:pStyle w:val="56"/>
                  </w:pPr>
                  <w:r>
                    <w:t>10</w:t>
                  </w:r>
                </w:p>
              </w:tc>
              <w:tc>
                <w:tcPr>
                  <w:tcW w:w="433" w:type="pct"/>
                  <w:vAlign w:val="center"/>
                </w:tcPr>
                <w:p>
                  <w:pPr>
                    <w:pStyle w:val="56"/>
                  </w:pPr>
                  <w:r>
                    <w:rPr>
                      <w:rFonts w:hint="eastAsia"/>
                    </w:rPr>
                    <w:t>6.518</w:t>
                  </w:r>
                </w:p>
              </w:tc>
              <w:tc>
                <w:tcPr>
                  <w:tcW w:w="422" w:type="pct"/>
                  <w:vAlign w:val="center"/>
                </w:tcPr>
                <w:p>
                  <w:pPr>
                    <w:pStyle w:val="56"/>
                  </w:pPr>
                  <w:r>
                    <w:rPr>
                      <w:rFonts w:hint="eastAsia"/>
                    </w:rPr>
                    <w:t>4</w:t>
                  </w:r>
                  <w:r>
                    <w:t>0</w:t>
                  </w:r>
                </w:p>
              </w:tc>
              <w:tc>
                <w:tcPr>
                  <w:tcW w:w="406" w:type="pct"/>
                  <w:vAlign w:val="center"/>
                </w:tcPr>
                <w:p>
                  <w:pPr>
                    <w:pStyle w:val="56"/>
                  </w:pPr>
                  <w:r>
                    <w:rPr>
                      <w:rFonts w:hint="eastAsia"/>
                    </w:rPr>
                    <w:t>/</w:t>
                  </w:r>
                </w:p>
              </w:tc>
              <w:tc>
                <w:tcPr>
                  <w:tcW w:w="463" w:type="pct"/>
                  <w:vAlign w:val="center"/>
                </w:tcPr>
                <w:p>
                  <w:pPr>
                    <w:pStyle w:val="56"/>
                  </w:pPr>
                  <w:r>
                    <w:rPr>
                      <w:rFonts w:hint="eastAsia"/>
                    </w:rPr>
                    <w:t>2.607</w:t>
                  </w:r>
                </w:p>
              </w:tc>
              <w:tc>
                <w:tcPr>
                  <w:tcW w:w="460" w:type="pct"/>
                  <w:vAlign w:val="center"/>
                </w:tcPr>
                <w:p>
                  <w:pPr>
                    <w:pStyle w:val="56"/>
                  </w:pPr>
                  <w:r>
                    <w:rPr>
                      <w:rFonts w:hint="eastAsia"/>
                    </w:rPr>
                    <w:t>3.911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rFonts w:hint="eastAsia"/>
                      <w:sz w:val="22"/>
                      <w:szCs w:val="28"/>
                      <w:lang w:val="en-US"/>
                    </w:rPr>
                    <w:t>1</w:t>
                  </w:r>
                  <w:r>
                    <w:rPr>
                      <w:sz w:val="22"/>
                      <w:szCs w:val="28"/>
                      <w:lang w:val="en-US"/>
                    </w:rPr>
                    <w:t>0</w:t>
                  </w:r>
                </w:p>
              </w:tc>
              <w:tc>
                <w:tcPr>
                  <w:tcW w:w="746" w:type="pct"/>
                  <w:vAlign w:val="center"/>
                </w:tcPr>
                <w:p>
                  <w:pPr>
                    <w:pStyle w:val="56"/>
                  </w:pPr>
                  <w:r>
                    <w:rPr>
                      <w:rFonts w:hint="eastAsia"/>
                    </w:rPr>
                    <w:t>微生物前处理室、结核菌</w:t>
                  </w:r>
                </w:p>
              </w:tc>
              <w:tc>
                <w:tcPr>
                  <w:tcW w:w="492" w:type="pct"/>
                  <w:vAlign w:val="center"/>
                </w:tcPr>
                <w:p>
                  <w:pPr>
                    <w:pStyle w:val="56"/>
                  </w:pPr>
                  <w:r>
                    <w:t>100</w:t>
                  </w:r>
                  <w:r>
                    <w:rPr>
                      <w:rFonts w:hint="eastAsia"/>
                    </w:rPr>
                    <w:t>瓶</w:t>
                  </w:r>
                  <w:r>
                    <w:rPr>
                      <w:rFonts w:hint="eastAsia"/>
                      <w:lang w:eastAsia="zh-CN"/>
                    </w:rPr>
                    <w:t>（</w:t>
                  </w:r>
                  <w:r>
                    <w:t>30</w:t>
                  </w:r>
                  <w:r>
                    <w:rPr>
                      <w:rFonts w:hint="eastAsia"/>
                    </w:rPr>
                    <w:t>L</w:t>
                  </w:r>
                  <w:r>
                    <w:rPr>
                      <w:rFonts w:hint="eastAsia"/>
                      <w:lang w:eastAsia="zh-CN"/>
                    </w:rPr>
                    <w:t>）</w:t>
                  </w:r>
                </w:p>
              </w:tc>
              <w:tc>
                <w:tcPr>
                  <w:tcW w:w="433" w:type="pct"/>
                  <w:vAlign w:val="center"/>
                </w:tcPr>
                <w:p>
                  <w:pPr>
                    <w:pStyle w:val="56"/>
                  </w:pPr>
                  <w:r>
                    <w:t>20</w:t>
                  </w:r>
                </w:p>
              </w:tc>
              <w:tc>
                <w:tcPr>
                  <w:tcW w:w="433" w:type="pct"/>
                  <w:vAlign w:val="center"/>
                </w:tcPr>
                <w:p>
                  <w:pPr>
                    <w:pStyle w:val="56"/>
                  </w:pPr>
                  <w:r>
                    <w:rPr>
                      <w:rFonts w:hint="eastAsia"/>
                    </w:rPr>
                    <w:t>1</w:t>
                  </w:r>
                </w:p>
              </w:tc>
              <w:tc>
                <w:tcPr>
                  <w:tcW w:w="433" w:type="pct"/>
                  <w:vAlign w:val="center"/>
                </w:tcPr>
                <w:p>
                  <w:pPr>
                    <w:pStyle w:val="56"/>
                  </w:pPr>
                  <w:r>
                    <w:t>10</w:t>
                  </w:r>
                </w:p>
              </w:tc>
              <w:tc>
                <w:tcPr>
                  <w:tcW w:w="433" w:type="pct"/>
                  <w:vAlign w:val="center"/>
                </w:tcPr>
                <w:p>
                  <w:pPr>
                    <w:pStyle w:val="56"/>
                  </w:pPr>
                  <w:r>
                    <w:rPr>
                      <w:rFonts w:hint="eastAsia"/>
                    </w:rPr>
                    <w:t>6.518</w:t>
                  </w:r>
                </w:p>
              </w:tc>
              <w:tc>
                <w:tcPr>
                  <w:tcW w:w="422" w:type="pct"/>
                  <w:vAlign w:val="center"/>
                </w:tcPr>
                <w:p>
                  <w:pPr>
                    <w:pStyle w:val="56"/>
                  </w:pPr>
                  <w:r>
                    <w:rPr>
                      <w:rFonts w:hint="eastAsia"/>
                    </w:rPr>
                    <w:t>4</w:t>
                  </w:r>
                  <w:r>
                    <w:t>0</w:t>
                  </w:r>
                </w:p>
              </w:tc>
              <w:tc>
                <w:tcPr>
                  <w:tcW w:w="406" w:type="pct"/>
                  <w:vAlign w:val="center"/>
                </w:tcPr>
                <w:p>
                  <w:pPr>
                    <w:pStyle w:val="56"/>
                  </w:pPr>
                  <w:r>
                    <w:rPr>
                      <w:rFonts w:hint="eastAsia"/>
                    </w:rPr>
                    <w:t>2</w:t>
                  </w:r>
                  <w:r>
                    <w:t>0</w:t>
                  </w:r>
                </w:p>
              </w:tc>
              <w:tc>
                <w:tcPr>
                  <w:tcW w:w="463" w:type="pct"/>
                  <w:vAlign w:val="center"/>
                </w:tcPr>
                <w:p>
                  <w:pPr>
                    <w:pStyle w:val="56"/>
                  </w:pPr>
                  <w:r>
                    <w:rPr>
                      <w:rFonts w:hint="eastAsia"/>
                    </w:rPr>
                    <w:t>2.086</w:t>
                  </w:r>
                </w:p>
              </w:tc>
              <w:tc>
                <w:tcPr>
                  <w:tcW w:w="460" w:type="pct"/>
                  <w:vAlign w:val="center"/>
                </w:tcPr>
                <w:p>
                  <w:pPr>
                    <w:pStyle w:val="56"/>
                  </w:pPr>
                  <w:r>
                    <w:rPr>
                      <w:rFonts w:hint="eastAsia"/>
                    </w:rPr>
                    <w:t>3.911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Align w:val="center"/>
                </w:tcPr>
                <w:p>
                  <w:pPr>
                    <w:pStyle w:val="56"/>
                    <w:rPr>
                      <w:sz w:val="22"/>
                      <w:szCs w:val="28"/>
                      <w:lang w:val="en-US"/>
                    </w:rPr>
                  </w:pPr>
                  <w:r>
                    <w:rPr>
                      <w:rFonts w:hint="eastAsia"/>
                      <w:sz w:val="22"/>
                      <w:szCs w:val="28"/>
                      <w:lang w:val="en-US"/>
                    </w:rPr>
                    <w:t>1</w:t>
                  </w:r>
                  <w:r>
                    <w:rPr>
                      <w:sz w:val="22"/>
                      <w:szCs w:val="28"/>
                      <w:lang w:val="en-US"/>
                    </w:rPr>
                    <w:t>1</w:t>
                  </w:r>
                </w:p>
              </w:tc>
              <w:tc>
                <w:tcPr>
                  <w:tcW w:w="746" w:type="pct"/>
                  <w:vAlign w:val="center"/>
                </w:tcPr>
                <w:p>
                  <w:pPr>
                    <w:pStyle w:val="56"/>
                  </w:pPr>
                  <w:r>
                    <w:rPr>
                      <w:rFonts w:hint="eastAsia"/>
                    </w:rPr>
                    <w:t>尿粪分析室、病理预埋室</w:t>
                  </w:r>
                </w:p>
              </w:tc>
              <w:tc>
                <w:tcPr>
                  <w:tcW w:w="492" w:type="pct"/>
                  <w:vAlign w:val="center"/>
                </w:tcPr>
                <w:p>
                  <w:pPr>
                    <w:pStyle w:val="56"/>
                  </w:pPr>
                  <w:r>
                    <w:t>50</w:t>
                  </w:r>
                  <w:r>
                    <w:rPr>
                      <w:rFonts w:hint="eastAsia"/>
                    </w:rPr>
                    <w:t>瓶</w:t>
                  </w:r>
                  <w:r>
                    <w:rPr>
                      <w:rFonts w:hint="eastAsia"/>
                      <w:lang w:eastAsia="zh-CN"/>
                    </w:rPr>
                    <w:t>（</w:t>
                  </w:r>
                  <w:r>
                    <w:t>15</w:t>
                  </w:r>
                  <w:r>
                    <w:rPr>
                      <w:rFonts w:hint="eastAsia"/>
                    </w:rPr>
                    <w:t>L</w:t>
                  </w:r>
                  <w:r>
                    <w:rPr>
                      <w:rFonts w:hint="eastAsia"/>
                      <w:lang w:eastAsia="zh-CN"/>
                    </w:rPr>
                    <w:t>）</w:t>
                  </w:r>
                </w:p>
              </w:tc>
              <w:tc>
                <w:tcPr>
                  <w:tcW w:w="433" w:type="pct"/>
                  <w:vAlign w:val="center"/>
                </w:tcPr>
                <w:p>
                  <w:pPr>
                    <w:pStyle w:val="56"/>
                  </w:pPr>
                  <w:r>
                    <w:t>10</w:t>
                  </w:r>
                </w:p>
              </w:tc>
              <w:tc>
                <w:tcPr>
                  <w:tcW w:w="433" w:type="pct"/>
                  <w:vAlign w:val="center"/>
                </w:tcPr>
                <w:p>
                  <w:pPr>
                    <w:pStyle w:val="56"/>
                  </w:pPr>
                  <w:r>
                    <w:rPr>
                      <w:rFonts w:hint="eastAsia"/>
                    </w:rPr>
                    <w:t>0.5</w:t>
                  </w:r>
                </w:p>
              </w:tc>
              <w:tc>
                <w:tcPr>
                  <w:tcW w:w="433" w:type="pct"/>
                  <w:vAlign w:val="center"/>
                </w:tcPr>
                <w:p>
                  <w:pPr>
                    <w:pStyle w:val="56"/>
                  </w:pPr>
                  <w:r>
                    <w:rPr>
                      <w:rFonts w:hint="eastAsia"/>
                    </w:rPr>
                    <w:t>5</w:t>
                  </w:r>
                </w:p>
              </w:tc>
              <w:tc>
                <w:tcPr>
                  <w:tcW w:w="433" w:type="pct"/>
                  <w:vAlign w:val="center"/>
                </w:tcPr>
                <w:p>
                  <w:pPr>
                    <w:pStyle w:val="56"/>
                  </w:pPr>
                  <w:r>
                    <w:rPr>
                      <w:rFonts w:hint="eastAsia"/>
                    </w:rPr>
                    <w:t>3.259</w:t>
                  </w:r>
                </w:p>
              </w:tc>
              <w:tc>
                <w:tcPr>
                  <w:tcW w:w="422" w:type="pct"/>
                  <w:vAlign w:val="center"/>
                </w:tcPr>
                <w:p>
                  <w:pPr>
                    <w:pStyle w:val="56"/>
                  </w:pPr>
                  <w:r>
                    <w:rPr>
                      <w:rFonts w:hint="eastAsia"/>
                    </w:rPr>
                    <w:t>4</w:t>
                  </w:r>
                  <w:r>
                    <w:t>0</w:t>
                  </w:r>
                </w:p>
              </w:tc>
              <w:tc>
                <w:tcPr>
                  <w:tcW w:w="406" w:type="pct"/>
                  <w:vAlign w:val="center"/>
                </w:tcPr>
                <w:p>
                  <w:pPr>
                    <w:pStyle w:val="56"/>
                  </w:pPr>
                  <w:r>
                    <w:rPr>
                      <w:rFonts w:hint="eastAsia"/>
                    </w:rPr>
                    <w:t>2</w:t>
                  </w:r>
                  <w:r>
                    <w:t>0</w:t>
                  </w:r>
                </w:p>
              </w:tc>
              <w:tc>
                <w:tcPr>
                  <w:tcW w:w="463" w:type="pct"/>
                  <w:vAlign w:val="center"/>
                </w:tcPr>
                <w:p>
                  <w:pPr>
                    <w:pStyle w:val="56"/>
                  </w:pPr>
                  <w:r>
                    <w:rPr>
                      <w:rFonts w:hint="eastAsia"/>
                    </w:rPr>
                    <w:t>1.043</w:t>
                  </w:r>
                </w:p>
              </w:tc>
              <w:tc>
                <w:tcPr>
                  <w:tcW w:w="460" w:type="pct"/>
                  <w:vAlign w:val="center"/>
                </w:tcPr>
                <w:p>
                  <w:pPr>
                    <w:pStyle w:val="56"/>
                  </w:pPr>
                  <w:r>
                    <w:rPr>
                      <w:rFonts w:hint="eastAsia"/>
                    </w:rPr>
                    <w:t>1.955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pct"/>
                  <w:gridSpan w:val="9"/>
                </w:tcPr>
                <w:p>
                  <w:pPr>
                    <w:pStyle w:val="56"/>
                  </w:pPr>
                  <w:r>
                    <w:rPr>
                      <w:rFonts w:hint="eastAsia"/>
                    </w:rPr>
                    <w:t>总量</w:t>
                  </w:r>
                </w:p>
              </w:tc>
              <w:tc>
                <w:tcPr>
                  <w:tcW w:w="463" w:type="pct"/>
                  <w:vAlign w:val="bottom"/>
                </w:tcPr>
                <w:p>
                  <w:pPr>
                    <w:pStyle w:val="56"/>
                  </w:pPr>
                  <w:r>
                    <w:rPr>
                      <w:rFonts w:hint="eastAsia"/>
                    </w:rPr>
                    <w:t>28.677</w:t>
                  </w:r>
                </w:p>
              </w:tc>
              <w:tc>
                <w:tcPr>
                  <w:tcW w:w="460" w:type="pct"/>
                  <w:vAlign w:val="bottom"/>
                </w:tcPr>
                <w:p>
                  <w:pPr>
                    <w:pStyle w:val="56"/>
                  </w:pPr>
                  <w:r>
                    <w:rPr>
                      <w:rFonts w:hint="eastAsia"/>
                    </w:rPr>
                    <w:t>44.189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1"/>
                  <w:vAlign w:val="center"/>
                </w:tcPr>
                <w:p>
                  <w:pPr>
                    <w:pStyle w:val="56"/>
                    <w:jc w:val="both"/>
                  </w:pPr>
                  <w:r>
                    <w:t>注：</w:t>
                  </w:r>
                  <w:r>
                    <w:rPr>
                      <w:rFonts w:hint="eastAsia"/>
                    </w:rPr>
                    <w:t>①</w:t>
                  </w:r>
                  <w:r>
                    <w:t>根据企业提供资料，项目所使用的酒精平均每瓶为300mL</w:t>
                  </w:r>
                  <w:r>
                    <w:rPr>
                      <w:rFonts w:hint="eastAsia"/>
                    </w:rPr>
                    <w:t>。</w:t>
                  </w:r>
                </w:p>
                <w:p>
                  <w:pPr>
                    <w:pStyle w:val="56"/>
                    <w:jc w:val="both"/>
                  </w:pPr>
                  <w:r>
                    <w:rPr>
                      <w:rFonts w:hint="eastAsia"/>
                    </w:rPr>
                    <w:t>②乙醇密度为0</w:t>
                  </w:r>
                  <w:r>
                    <w:t>.79g/cm</w:t>
                  </w:r>
                  <w:r>
                    <w:rPr>
                      <w:vertAlign w:val="superscript"/>
                    </w:rPr>
                    <w:t>3</w:t>
                  </w:r>
                  <w:r>
                    <w:t>。</w:t>
                  </w:r>
                </w:p>
                <w:p>
                  <w:pPr>
                    <w:pStyle w:val="56"/>
                    <w:jc w:val="both"/>
                  </w:pPr>
                  <w:r>
                    <w:rPr>
                      <w:rFonts w:hint="eastAsia"/>
                    </w:rPr>
                    <w:t>③根据《广东省工业源挥发性有机物减排量核算方法（试行）》中表4</w:t>
                  </w:r>
                  <w:r>
                    <w:t>.5-1可知，项目收集</w:t>
                  </w:r>
                  <w:r>
                    <w:rPr>
                      <w:rFonts w:hint="eastAsia"/>
                    </w:rPr>
                    <w:t>措施为实验室顶部风机收集，收集效率为4</w:t>
                  </w:r>
                  <w:r>
                    <w:t>0%</w:t>
                  </w:r>
                  <w:r>
                    <w:rPr>
                      <w:rFonts w:hint="eastAsia"/>
                    </w:rPr>
                    <w:t>，活性炭的处理效率为2</w:t>
                  </w:r>
                  <w:r>
                    <w:t>0%</w:t>
                  </w:r>
                  <w:r>
                    <w:rPr>
                      <w:rFonts w:hint="eastAsia"/>
                    </w:rPr>
                    <w:t>。</w:t>
                  </w:r>
                </w:p>
                <w:p>
                  <w:pPr>
                    <w:pStyle w:val="56"/>
                    <w:jc w:val="both"/>
                  </w:pPr>
                  <w:r>
                    <w:rPr>
                      <w:rFonts w:hint="eastAsia"/>
                    </w:rPr>
                    <w:t>④PCR实验室走廊</w:t>
                  </w:r>
                  <w:r>
                    <w:rPr>
                      <w:rFonts w:hint="eastAsia"/>
                      <w:lang w:eastAsia="zh-CN"/>
                    </w:rPr>
                    <w:t>*</w:t>
                  </w:r>
                  <w:r>
                    <w:rPr>
                      <w:rFonts w:hint="eastAsia"/>
                    </w:rPr>
                    <w:t>中的废气主要是来源于一楼的实验室中人员进出的时候导致的实验室内废气的泄漏，泄漏量较少，</w:t>
                  </w:r>
                  <w:r>
                    <w:rPr>
                      <w:rFonts w:hint="eastAsia"/>
                      <w:lang w:eastAsia="zh-CN"/>
                    </w:rPr>
                    <w:t>约</w:t>
                  </w:r>
                  <w:r>
                    <w:rPr>
                      <w:rFonts w:hint="eastAsia"/>
                    </w:rPr>
                    <w:t>为1</w:t>
                  </w:r>
                  <w:r>
                    <w:t>0</w:t>
                  </w:r>
                  <w:r>
                    <w:rPr>
                      <w:rFonts w:hint="eastAsia"/>
                    </w:rPr>
                    <w:t>%。</w:t>
                  </w:r>
                </w:p>
                <w:p>
                  <w:pPr>
                    <w:pStyle w:val="56"/>
                    <w:jc w:val="both"/>
                  </w:pPr>
                  <w:r>
                    <w:rPr>
                      <w:rFonts w:hint="eastAsia"/>
                    </w:rPr>
                    <w:t>⑤乙醇的挥发量包括有实验过程中使用试剂的挥发量、擦拭过程的挥发量。</w:t>
                  </w:r>
                </w:p>
                <w:p>
                  <w:pPr>
                    <w:pStyle w:val="56"/>
                    <w:jc w:val="left"/>
                    <w:rPr>
                      <w:lang w:eastAsia="zh-CN"/>
                    </w:rPr>
                  </w:pPr>
                  <w:r>
                    <w:rPr>
                      <w:rFonts w:hint="eastAsia"/>
                      <w:lang w:eastAsia="zh-CN"/>
                    </w:rPr>
                    <w:t>⑥项目使用的乙醇就多部分为7</w:t>
                  </w:r>
                  <w:r>
                    <w:rPr>
                      <w:lang w:eastAsia="zh-CN"/>
                    </w:rPr>
                    <w:t>5</w:t>
                  </w:r>
                  <w:r>
                    <w:rPr>
                      <w:rFonts w:hint="eastAsia"/>
                      <w:lang w:eastAsia="zh-CN"/>
                    </w:rPr>
                    <w:t>%浓度乙醇，只有少部分为9</w:t>
                  </w:r>
                  <w:r>
                    <w:rPr>
                      <w:lang w:eastAsia="zh-CN"/>
                    </w:rPr>
                    <w:t>5</w:t>
                  </w:r>
                  <w:r>
                    <w:rPr>
                      <w:rFonts w:hint="eastAsia"/>
                      <w:lang w:eastAsia="zh-CN"/>
                    </w:rPr>
                    <w:t>%乙醇，因此废气核算过程中以7</w:t>
                  </w:r>
                  <w:r>
                    <w:rPr>
                      <w:lang w:eastAsia="zh-CN"/>
                    </w:rPr>
                    <w:t>5</w:t>
                  </w:r>
                  <w:r>
                    <w:rPr>
                      <w:rFonts w:hint="eastAsia"/>
                      <w:lang w:eastAsia="zh-CN"/>
                    </w:rPr>
                    <w:t>%浓度作为核算浓度。</w:t>
                  </w:r>
                </w:p>
                <w:p>
                  <w:pPr>
                    <w:pStyle w:val="56"/>
                    <w:jc w:val="left"/>
                    <w:rPr>
                      <w:lang w:eastAsia="zh-CN"/>
                    </w:rPr>
                  </w:pPr>
                  <w:r>
                    <w:rPr>
                      <w:rFonts w:hint="eastAsia"/>
                      <w:lang w:eastAsia="zh-CN"/>
                    </w:rPr>
                    <w:t>⑦</w:t>
                  </w:r>
                  <w:r>
                    <w:rPr>
                      <w:rFonts w:hint="eastAsia"/>
                    </w:rPr>
                    <w:t>乙醇</w:t>
                  </w:r>
                  <w:r>
                    <w:rPr>
                      <w:rFonts w:hint="eastAsia"/>
                      <w:lang w:eastAsia="zh-CN"/>
                    </w:rPr>
                    <w:t>产生量（kg）=</w:t>
                  </w:r>
                  <w:bookmarkStart w:id="126" w:name="_Hlk121588789"/>
                  <w:r>
                    <w:rPr>
                      <w:rFonts w:hint="eastAsia"/>
                      <w:lang w:eastAsia="zh-CN"/>
                    </w:rPr>
                    <w:t>（</w:t>
                  </w:r>
                  <w:r>
                    <w:rPr>
                      <w:rFonts w:hint="eastAsia"/>
                    </w:rPr>
                    <w:t>实验使用乙醇量</w:t>
                  </w:r>
                  <w:r>
                    <w:rPr>
                      <w:rFonts w:hint="eastAsia"/>
                      <w:lang w:eastAsia="zh-CN"/>
                    </w:rPr>
                    <w:t>*</w:t>
                  </w:r>
                  <w:r>
                    <w:rPr>
                      <w:lang w:eastAsia="zh-CN"/>
                    </w:rPr>
                    <w:t>5</w:t>
                  </w:r>
                  <w:r>
                    <w:rPr>
                      <w:rFonts w:hint="eastAsia"/>
                      <w:lang w:eastAsia="zh-CN"/>
                    </w:rPr>
                    <w:t>%</w:t>
                  </w:r>
                  <w:r>
                    <w:rPr>
                      <w:lang w:eastAsia="zh-CN"/>
                    </w:rPr>
                    <w:t>*+</w:t>
                  </w:r>
                  <w:r>
                    <w:rPr>
                      <w:rFonts w:hint="eastAsia"/>
                    </w:rPr>
                    <w:t>擦拭使用乙醇量</w:t>
                  </w:r>
                  <w:r>
                    <w:rPr>
                      <w:rFonts w:hint="eastAsia"/>
                      <w:lang w:eastAsia="zh-CN"/>
                    </w:rPr>
                    <w:t>）*</w:t>
                  </w:r>
                  <w:r>
                    <w:rPr>
                      <w:lang w:eastAsia="zh-CN"/>
                    </w:rPr>
                    <w:t>0.79*0.75</w:t>
                  </w:r>
                  <w:bookmarkEnd w:id="126"/>
                  <w:r>
                    <w:rPr>
                      <w:rFonts w:hint="eastAsia"/>
                      <w:lang w:eastAsia="zh-CN"/>
                    </w:rPr>
                    <w:t>。</w:t>
                  </w:r>
                </w:p>
              </w:tc>
            </w:tr>
          </w:tbl>
          <w:p>
            <w:pPr>
              <w:ind w:firstLine="480"/>
              <w:rPr>
                <w:lang w:val="zh-CN"/>
              </w:rPr>
            </w:pPr>
          </w:p>
        </w:tc>
      </w:tr>
    </w:tbl>
    <w:p>
      <w:pPr>
        <w:ind w:firstLine="480"/>
        <w:rPr>
          <w:lang w:eastAsia="zh-CN"/>
        </w:rPr>
        <w:sectPr>
          <w:pgSz w:w="16838" w:h="11906" w:orient="landscape"/>
          <w:pgMar w:top="1800" w:right="1440" w:bottom="1800" w:left="1440" w:header="851" w:footer="992" w:gutter="0"/>
          <w:cols w:space="720" w:num="1"/>
          <w:docGrid w:type="lines" w:linePitch="326" w:charSpace="0"/>
        </w:sectPr>
      </w:pPr>
    </w:p>
    <w:tbl>
      <w:tblPr>
        <w:tblStyle w:val="3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7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5" w:hRule="atLeast"/>
          <w:jc w:val="center"/>
        </w:trPr>
        <w:tc>
          <w:tcPr>
            <w:tcW w:w="1232" w:type="dxa"/>
            <w:vAlign w:val="center"/>
          </w:tcPr>
          <w:p>
            <w:pPr>
              <w:spacing w:line="240" w:lineRule="auto"/>
              <w:ind w:firstLine="0" w:firstLineChars="0"/>
              <w:jc w:val="center"/>
            </w:pPr>
            <w:r>
              <w:rPr>
                <w:rFonts w:hint="eastAsia"/>
              </w:rPr>
              <w:t>运营期环境影响和保护措施</w:t>
            </w:r>
          </w:p>
        </w:tc>
        <w:tc>
          <w:tcPr>
            <w:tcW w:w="7638" w:type="dxa"/>
          </w:tcPr>
          <w:p>
            <w:pPr>
              <w:ind w:firstLine="480"/>
            </w:pPr>
            <w:r>
              <w:rPr>
                <w:rFonts w:hint="eastAsia"/>
              </w:rPr>
              <w:t>由于企业为医学检验室，为避免各实验室之间由于气溶胶的流通造成污染，因此企业将每个实验室中的废气分别进行收集处理，根据企业提供设计资料，企业共建有1</w:t>
            </w:r>
            <w:r>
              <w:t>1</w:t>
            </w:r>
            <w:r>
              <w:rPr>
                <w:rFonts w:hint="eastAsia"/>
              </w:rPr>
              <w:t>套废气处理措施，实验室废气引至天台废气处理措施处理达标后分别经过1</w:t>
            </w:r>
            <w:r>
              <w:t>1</w:t>
            </w:r>
            <w:r>
              <w:rPr>
                <w:rFonts w:hint="eastAsia"/>
              </w:rPr>
              <w:t>条2</w:t>
            </w:r>
            <w:r>
              <w:t>0</w:t>
            </w:r>
            <w:r>
              <w:rPr>
                <w:rFonts w:hint="eastAsia"/>
              </w:rPr>
              <w:t>米排气筒进行排放。具体划分见下表。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9</w:t>
            </w:r>
            <w:r>
              <w:fldChar w:fldCharType="end"/>
            </w:r>
            <w:r>
              <w:rPr>
                <w:rFonts w:hint="eastAsia"/>
              </w:rPr>
              <w:t>项目废气处理措施区域划分</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717"/>
              <w:gridCol w:w="1262"/>
              <w:gridCol w:w="1018"/>
              <w:gridCol w:w="1026"/>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pStyle w:val="56"/>
                  </w:pPr>
                  <w:r>
                    <w:rPr>
                      <w:rFonts w:hint="eastAsia"/>
                    </w:rPr>
                    <w:t>序号</w:t>
                  </w:r>
                </w:p>
              </w:tc>
              <w:tc>
                <w:tcPr>
                  <w:tcW w:w="1158" w:type="pct"/>
                  <w:vAlign w:val="center"/>
                </w:tcPr>
                <w:p>
                  <w:pPr>
                    <w:pStyle w:val="56"/>
                  </w:pPr>
                  <w:r>
                    <w:rPr>
                      <w:rFonts w:hint="eastAsia"/>
                    </w:rPr>
                    <w:t>处理区域</w:t>
                  </w:r>
                </w:p>
              </w:tc>
              <w:tc>
                <w:tcPr>
                  <w:tcW w:w="851" w:type="pct"/>
                  <w:vAlign w:val="center"/>
                </w:tcPr>
                <w:p>
                  <w:pPr>
                    <w:pStyle w:val="56"/>
                  </w:pPr>
                  <w:r>
                    <w:rPr>
                      <w:rFonts w:hint="eastAsia"/>
                    </w:rPr>
                    <w:t>处理措施</w:t>
                  </w:r>
                </w:p>
              </w:tc>
              <w:tc>
                <w:tcPr>
                  <w:tcW w:w="687" w:type="pct"/>
                  <w:vAlign w:val="center"/>
                </w:tcPr>
                <w:p>
                  <w:pPr>
                    <w:pStyle w:val="56"/>
                  </w:pPr>
                  <w:r>
                    <w:rPr>
                      <w:rFonts w:hint="eastAsia"/>
                    </w:rPr>
                    <w:t>排气筒编号</w:t>
                  </w:r>
                </w:p>
              </w:tc>
              <w:tc>
                <w:tcPr>
                  <w:tcW w:w="692" w:type="pct"/>
                  <w:vAlign w:val="center"/>
                </w:tcPr>
                <w:p>
                  <w:pPr>
                    <w:pStyle w:val="56"/>
                  </w:pPr>
                  <w:r>
                    <w:rPr>
                      <w:rFonts w:hint="eastAsia"/>
                    </w:rPr>
                    <w:t>风量</w:t>
                  </w:r>
                  <w:r>
                    <w:t>（m³/h）</w:t>
                  </w:r>
                </w:p>
              </w:tc>
              <w:tc>
                <w:tcPr>
                  <w:tcW w:w="993" w:type="pct"/>
                  <w:vAlign w:val="center"/>
                </w:tcPr>
                <w:p>
                  <w:pPr>
                    <w:pStyle w:val="56"/>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pStyle w:val="56"/>
                  </w:pPr>
                  <w:r>
                    <w:rPr>
                      <w:rFonts w:hint="eastAsia"/>
                    </w:rPr>
                    <w:t>1</w:t>
                  </w:r>
                </w:p>
              </w:tc>
              <w:tc>
                <w:tcPr>
                  <w:tcW w:w="1158" w:type="pct"/>
                  <w:vAlign w:val="center"/>
                </w:tcPr>
                <w:p>
                  <w:pPr>
                    <w:pStyle w:val="56"/>
                  </w:pPr>
                  <w:r>
                    <w:rPr>
                      <w:rFonts w:hint="eastAsia"/>
                    </w:rPr>
                    <w:t>PCR实验室1</w:t>
                  </w:r>
                </w:p>
              </w:tc>
              <w:tc>
                <w:tcPr>
                  <w:tcW w:w="851" w:type="pct"/>
                  <w:vAlign w:val="center"/>
                </w:tcPr>
                <w:p>
                  <w:pPr>
                    <w:pStyle w:val="56"/>
                  </w:pPr>
                  <w:r>
                    <w:rPr>
                      <w:rFonts w:hint="eastAsia"/>
                    </w:rPr>
                    <w:t>高效过滤</w:t>
                  </w:r>
                </w:p>
              </w:tc>
              <w:tc>
                <w:tcPr>
                  <w:tcW w:w="687" w:type="pct"/>
                  <w:vAlign w:val="center"/>
                </w:tcPr>
                <w:p>
                  <w:pPr>
                    <w:pStyle w:val="56"/>
                  </w:pPr>
                  <w:r>
                    <w:rPr>
                      <w:rFonts w:hint="eastAsia"/>
                    </w:rPr>
                    <w:t>DA</w:t>
                  </w:r>
                  <w:r>
                    <w:t>001</w:t>
                  </w:r>
                </w:p>
              </w:tc>
              <w:tc>
                <w:tcPr>
                  <w:tcW w:w="692" w:type="pct"/>
                  <w:vAlign w:val="center"/>
                </w:tcPr>
                <w:p>
                  <w:pPr>
                    <w:pStyle w:val="56"/>
                  </w:pPr>
                  <w:r>
                    <w:rPr>
                      <w:rFonts w:hint="eastAsia"/>
                    </w:rPr>
                    <w:t>5</w:t>
                  </w:r>
                  <w:r>
                    <w:t>000</w:t>
                  </w:r>
                </w:p>
              </w:tc>
              <w:tc>
                <w:tcPr>
                  <w:tcW w:w="993" w:type="pct"/>
                  <w:vAlign w:val="center"/>
                </w:tcPr>
                <w:p>
                  <w:pPr>
                    <w:pStyle w:val="56"/>
                  </w:pPr>
                  <w:r>
                    <w:rPr>
                      <w:rFonts w:hint="eastAsia"/>
                    </w:rPr>
                    <w:t>一楼西北侧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pStyle w:val="56"/>
                  </w:pPr>
                  <w:r>
                    <w:rPr>
                      <w:rFonts w:hint="eastAsia"/>
                    </w:rPr>
                    <w:t>2</w:t>
                  </w:r>
                </w:p>
              </w:tc>
              <w:tc>
                <w:tcPr>
                  <w:tcW w:w="1158" w:type="pct"/>
                  <w:vAlign w:val="center"/>
                </w:tcPr>
                <w:p>
                  <w:pPr>
                    <w:pStyle w:val="56"/>
                  </w:pPr>
                  <w:r>
                    <w:rPr>
                      <w:rFonts w:hint="eastAsia"/>
                    </w:rPr>
                    <w:t>PCR实验室1试剂准备室</w:t>
                  </w:r>
                </w:p>
              </w:tc>
              <w:tc>
                <w:tcPr>
                  <w:tcW w:w="851" w:type="pct"/>
                  <w:vAlign w:val="center"/>
                </w:tcPr>
                <w:p>
                  <w:pPr>
                    <w:pStyle w:val="56"/>
                  </w:pPr>
                  <w:r>
                    <w:rPr>
                      <w:rFonts w:hint="eastAsia"/>
                    </w:rPr>
                    <w:t>高效过滤</w:t>
                  </w:r>
                </w:p>
              </w:tc>
              <w:tc>
                <w:tcPr>
                  <w:tcW w:w="687" w:type="pct"/>
                  <w:vAlign w:val="center"/>
                </w:tcPr>
                <w:p>
                  <w:pPr>
                    <w:pStyle w:val="56"/>
                  </w:pPr>
                  <w:r>
                    <w:rPr>
                      <w:rFonts w:hint="eastAsia"/>
                    </w:rPr>
                    <w:t>DA</w:t>
                  </w:r>
                  <w:r>
                    <w:t>002</w:t>
                  </w:r>
                </w:p>
              </w:tc>
              <w:tc>
                <w:tcPr>
                  <w:tcW w:w="692" w:type="pct"/>
                  <w:vAlign w:val="center"/>
                </w:tcPr>
                <w:p>
                  <w:pPr>
                    <w:pStyle w:val="56"/>
                  </w:pPr>
                  <w:r>
                    <w:rPr>
                      <w:rFonts w:hint="eastAsia"/>
                    </w:rPr>
                    <w:t>1500</w:t>
                  </w:r>
                </w:p>
              </w:tc>
              <w:tc>
                <w:tcPr>
                  <w:tcW w:w="993" w:type="pct"/>
                  <w:vAlign w:val="center"/>
                </w:tcPr>
                <w:p>
                  <w:pPr>
                    <w:pStyle w:val="56"/>
                  </w:pPr>
                  <w:r>
                    <w:rPr>
                      <w:rFonts w:hint="eastAsia"/>
                    </w:rPr>
                    <w:t>一楼PCR实验室1东侧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9" w:type="pct"/>
                  <w:vAlign w:val="center"/>
                </w:tcPr>
                <w:p>
                  <w:pPr>
                    <w:pStyle w:val="56"/>
                  </w:pPr>
                  <w:r>
                    <w:rPr>
                      <w:rFonts w:hint="eastAsia"/>
                    </w:rPr>
                    <w:t>3</w:t>
                  </w:r>
                </w:p>
              </w:tc>
              <w:tc>
                <w:tcPr>
                  <w:tcW w:w="1158" w:type="pct"/>
                  <w:vAlign w:val="center"/>
                </w:tcPr>
                <w:p>
                  <w:pPr>
                    <w:pStyle w:val="56"/>
                  </w:pPr>
                  <w:r>
                    <w:rPr>
                      <w:rFonts w:hint="eastAsia"/>
                    </w:rPr>
                    <w:t>PCR实验室2样本制备室</w:t>
                  </w:r>
                </w:p>
              </w:tc>
              <w:tc>
                <w:tcPr>
                  <w:tcW w:w="851" w:type="pct"/>
                  <w:vAlign w:val="center"/>
                </w:tcPr>
                <w:p>
                  <w:pPr>
                    <w:pStyle w:val="56"/>
                  </w:pPr>
                  <w:r>
                    <w:rPr>
                      <w:rFonts w:hint="eastAsia"/>
                    </w:rPr>
                    <w:t>高效过滤</w:t>
                  </w:r>
                </w:p>
              </w:tc>
              <w:tc>
                <w:tcPr>
                  <w:tcW w:w="687" w:type="pct"/>
                  <w:vAlign w:val="center"/>
                </w:tcPr>
                <w:p>
                  <w:pPr>
                    <w:pStyle w:val="56"/>
                  </w:pPr>
                  <w:r>
                    <w:rPr>
                      <w:rFonts w:hint="eastAsia"/>
                    </w:rPr>
                    <w:t>DA</w:t>
                  </w:r>
                  <w:r>
                    <w:t>003</w:t>
                  </w:r>
                </w:p>
              </w:tc>
              <w:tc>
                <w:tcPr>
                  <w:tcW w:w="692" w:type="pct"/>
                  <w:vAlign w:val="center"/>
                </w:tcPr>
                <w:p>
                  <w:pPr>
                    <w:pStyle w:val="56"/>
                  </w:pPr>
                  <w:r>
                    <w:rPr>
                      <w:rFonts w:hint="eastAsia"/>
                    </w:rPr>
                    <w:t>7800</w:t>
                  </w:r>
                </w:p>
              </w:tc>
              <w:tc>
                <w:tcPr>
                  <w:tcW w:w="993" w:type="pct"/>
                  <w:vAlign w:val="center"/>
                </w:tcPr>
                <w:p>
                  <w:pPr>
                    <w:pStyle w:val="56"/>
                  </w:pPr>
                  <w:r>
                    <w:rPr>
                      <w:rFonts w:hint="eastAsia"/>
                    </w:rPr>
                    <w:t>一楼北侧中部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pStyle w:val="56"/>
                  </w:pPr>
                  <w:r>
                    <w:rPr>
                      <w:rFonts w:hint="eastAsia"/>
                    </w:rPr>
                    <w:t>4</w:t>
                  </w:r>
                </w:p>
              </w:tc>
              <w:tc>
                <w:tcPr>
                  <w:tcW w:w="1158" w:type="pct"/>
                  <w:vAlign w:val="center"/>
                </w:tcPr>
                <w:p>
                  <w:pPr>
                    <w:pStyle w:val="56"/>
                  </w:pPr>
                  <w:r>
                    <w:rPr>
                      <w:rFonts w:hint="eastAsia"/>
                    </w:rPr>
                    <w:t>PCR实验室2扩增及分析室</w:t>
                  </w:r>
                </w:p>
              </w:tc>
              <w:tc>
                <w:tcPr>
                  <w:tcW w:w="851" w:type="pct"/>
                  <w:vAlign w:val="center"/>
                </w:tcPr>
                <w:p>
                  <w:pPr>
                    <w:pStyle w:val="56"/>
                  </w:pPr>
                  <w:r>
                    <w:rPr>
                      <w:rFonts w:hint="eastAsia"/>
                    </w:rPr>
                    <w:t>高效过滤</w:t>
                  </w:r>
                </w:p>
              </w:tc>
              <w:tc>
                <w:tcPr>
                  <w:tcW w:w="687" w:type="pct"/>
                  <w:vAlign w:val="center"/>
                </w:tcPr>
                <w:p>
                  <w:pPr>
                    <w:pStyle w:val="56"/>
                  </w:pPr>
                  <w:r>
                    <w:rPr>
                      <w:rFonts w:hint="eastAsia"/>
                    </w:rPr>
                    <w:t>DA</w:t>
                  </w:r>
                  <w:r>
                    <w:t>004</w:t>
                  </w:r>
                </w:p>
              </w:tc>
              <w:tc>
                <w:tcPr>
                  <w:tcW w:w="692" w:type="pct"/>
                  <w:vAlign w:val="center"/>
                </w:tcPr>
                <w:p>
                  <w:pPr>
                    <w:pStyle w:val="56"/>
                  </w:pPr>
                  <w:r>
                    <w:rPr>
                      <w:rFonts w:hint="eastAsia"/>
                    </w:rPr>
                    <w:t>4000</w:t>
                  </w:r>
                </w:p>
              </w:tc>
              <w:tc>
                <w:tcPr>
                  <w:tcW w:w="993" w:type="pct"/>
                  <w:vAlign w:val="center"/>
                </w:tcPr>
                <w:p>
                  <w:pPr>
                    <w:pStyle w:val="56"/>
                  </w:pPr>
                  <w:r>
                    <w:rPr>
                      <w:rFonts w:hint="eastAsia"/>
                    </w:rPr>
                    <w:t>PCR实验室2样本制备室东侧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pStyle w:val="56"/>
                  </w:pPr>
                  <w:r>
                    <w:t>5</w:t>
                  </w:r>
                </w:p>
              </w:tc>
              <w:tc>
                <w:tcPr>
                  <w:tcW w:w="1158" w:type="pct"/>
                  <w:vAlign w:val="center"/>
                </w:tcPr>
                <w:p>
                  <w:pPr>
                    <w:pStyle w:val="56"/>
                  </w:pPr>
                  <w:r>
                    <w:rPr>
                      <w:rFonts w:hint="eastAsia"/>
                    </w:rPr>
                    <w:t>PCR实验室3试剂准备室</w:t>
                  </w:r>
                </w:p>
              </w:tc>
              <w:tc>
                <w:tcPr>
                  <w:tcW w:w="851" w:type="pct"/>
                  <w:vAlign w:val="center"/>
                </w:tcPr>
                <w:p>
                  <w:pPr>
                    <w:pStyle w:val="56"/>
                  </w:pPr>
                  <w:r>
                    <w:rPr>
                      <w:rFonts w:hint="eastAsia"/>
                    </w:rPr>
                    <w:t>高效过滤</w:t>
                  </w:r>
                </w:p>
              </w:tc>
              <w:tc>
                <w:tcPr>
                  <w:tcW w:w="687" w:type="pct"/>
                  <w:vAlign w:val="center"/>
                </w:tcPr>
                <w:p>
                  <w:pPr>
                    <w:pStyle w:val="56"/>
                  </w:pPr>
                  <w:r>
                    <w:rPr>
                      <w:rFonts w:hint="eastAsia"/>
                    </w:rPr>
                    <w:t>DA</w:t>
                  </w:r>
                  <w:r>
                    <w:t>005</w:t>
                  </w:r>
                </w:p>
              </w:tc>
              <w:tc>
                <w:tcPr>
                  <w:tcW w:w="692" w:type="pct"/>
                  <w:vAlign w:val="center"/>
                </w:tcPr>
                <w:p>
                  <w:pPr>
                    <w:pStyle w:val="56"/>
                  </w:pPr>
                  <w:r>
                    <w:rPr>
                      <w:rFonts w:hint="eastAsia"/>
                    </w:rPr>
                    <w:t>1500</w:t>
                  </w:r>
                </w:p>
              </w:tc>
              <w:tc>
                <w:tcPr>
                  <w:tcW w:w="993" w:type="pct"/>
                  <w:vAlign w:val="center"/>
                </w:tcPr>
                <w:p>
                  <w:pPr>
                    <w:pStyle w:val="56"/>
                  </w:pPr>
                  <w:r>
                    <w:rPr>
                      <w:rFonts w:hint="eastAsia"/>
                    </w:rPr>
                    <w:t>一楼中部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pStyle w:val="56"/>
                  </w:pPr>
                  <w:r>
                    <w:rPr>
                      <w:rFonts w:hint="eastAsia"/>
                    </w:rPr>
                    <w:t>6</w:t>
                  </w:r>
                </w:p>
              </w:tc>
              <w:tc>
                <w:tcPr>
                  <w:tcW w:w="1158" w:type="pct"/>
                  <w:vAlign w:val="center"/>
                </w:tcPr>
                <w:p>
                  <w:pPr>
                    <w:pStyle w:val="56"/>
                  </w:pPr>
                  <w:r>
                    <w:rPr>
                      <w:rFonts w:hint="eastAsia"/>
                    </w:rPr>
                    <w:t>PCR实验室3样本制备室</w:t>
                  </w:r>
                </w:p>
              </w:tc>
              <w:tc>
                <w:tcPr>
                  <w:tcW w:w="851" w:type="pct"/>
                  <w:vAlign w:val="center"/>
                </w:tcPr>
                <w:p>
                  <w:pPr>
                    <w:pStyle w:val="56"/>
                  </w:pPr>
                  <w:r>
                    <w:rPr>
                      <w:rFonts w:hint="eastAsia"/>
                    </w:rPr>
                    <w:t>高效过滤</w:t>
                  </w:r>
                </w:p>
              </w:tc>
              <w:tc>
                <w:tcPr>
                  <w:tcW w:w="687" w:type="pct"/>
                  <w:vAlign w:val="center"/>
                </w:tcPr>
                <w:p>
                  <w:pPr>
                    <w:pStyle w:val="56"/>
                  </w:pPr>
                  <w:r>
                    <w:rPr>
                      <w:rFonts w:hint="eastAsia"/>
                    </w:rPr>
                    <w:t>DA</w:t>
                  </w:r>
                  <w:r>
                    <w:t>006</w:t>
                  </w:r>
                </w:p>
              </w:tc>
              <w:tc>
                <w:tcPr>
                  <w:tcW w:w="692" w:type="pct"/>
                  <w:vAlign w:val="center"/>
                </w:tcPr>
                <w:p>
                  <w:pPr>
                    <w:pStyle w:val="56"/>
                  </w:pPr>
                  <w:r>
                    <w:rPr>
                      <w:rFonts w:hint="eastAsia"/>
                    </w:rPr>
                    <w:t>14500</w:t>
                  </w:r>
                </w:p>
              </w:tc>
              <w:tc>
                <w:tcPr>
                  <w:tcW w:w="993" w:type="pct"/>
                  <w:vAlign w:val="center"/>
                </w:tcPr>
                <w:p>
                  <w:pPr>
                    <w:pStyle w:val="56"/>
                  </w:pPr>
                  <w:r>
                    <w:rPr>
                      <w:rFonts w:hint="eastAsia"/>
                    </w:rPr>
                    <w:t>一楼中部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9" w:type="pct"/>
                  <w:vAlign w:val="center"/>
                </w:tcPr>
                <w:p>
                  <w:pPr>
                    <w:pStyle w:val="56"/>
                  </w:pPr>
                  <w:r>
                    <w:rPr>
                      <w:rFonts w:hint="eastAsia"/>
                    </w:rPr>
                    <w:t>7</w:t>
                  </w:r>
                </w:p>
              </w:tc>
              <w:tc>
                <w:tcPr>
                  <w:tcW w:w="1158" w:type="pct"/>
                  <w:vAlign w:val="center"/>
                </w:tcPr>
                <w:p>
                  <w:pPr>
                    <w:pStyle w:val="56"/>
                  </w:pPr>
                  <w:r>
                    <w:rPr>
                      <w:rFonts w:hint="eastAsia"/>
                    </w:rPr>
                    <w:t>PCR实验室3扩增及分析室</w:t>
                  </w:r>
                </w:p>
              </w:tc>
              <w:tc>
                <w:tcPr>
                  <w:tcW w:w="851" w:type="pct"/>
                  <w:vAlign w:val="center"/>
                </w:tcPr>
                <w:p>
                  <w:pPr>
                    <w:pStyle w:val="56"/>
                  </w:pPr>
                  <w:r>
                    <w:rPr>
                      <w:rFonts w:hint="eastAsia"/>
                    </w:rPr>
                    <w:t>高效过滤</w:t>
                  </w:r>
                </w:p>
              </w:tc>
              <w:tc>
                <w:tcPr>
                  <w:tcW w:w="687" w:type="pct"/>
                  <w:vAlign w:val="center"/>
                </w:tcPr>
                <w:p>
                  <w:pPr>
                    <w:pStyle w:val="56"/>
                  </w:pPr>
                  <w:r>
                    <w:rPr>
                      <w:rFonts w:hint="eastAsia"/>
                    </w:rPr>
                    <w:t>DA</w:t>
                  </w:r>
                  <w:r>
                    <w:t>007</w:t>
                  </w:r>
                </w:p>
              </w:tc>
              <w:tc>
                <w:tcPr>
                  <w:tcW w:w="692" w:type="pct"/>
                  <w:vAlign w:val="center"/>
                </w:tcPr>
                <w:p>
                  <w:pPr>
                    <w:pStyle w:val="56"/>
                  </w:pPr>
                  <w:r>
                    <w:rPr>
                      <w:rFonts w:hint="eastAsia"/>
                    </w:rPr>
                    <w:t>6000</w:t>
                  </w:r>
                </w:p>
              </w:tc>
              <w:tc>
                <w:tcPr>
                  <w:tcW w:w="993" w:type="pct"/>
                  <w:vAlign w:val="center"/>
                </w:tcPr>
                <w:p>
                  <w:pPr>
                    <w:pStyle w:val="56"/>
                  </w:pPr>
                  <w:r>
                    <w:rPr>
                      <w:rFonts w:hint="eastAsia"/>
                    </w:rPr>
                    <w:t>PCR实验室3样本制备室东侧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pStyle w:val="56"/>
                  </w:pPr>
                  <w:r>
                    <w:rPr>
                      <w:rFonts w:hint="eastAsia"/>
                    </w:rPr>
                    <w:t>8</w:t>
                  </w:r>
                </w:p>
              </w:tc>
              <w:tc>
                <w:tcPr>
                  <w:tcW w:w="1158" w:type="pct"/>
                  <w:vAlign w:val="center"/>
                </w:tcPr>
                <w:p>
                  <w:pPr>
                    <w:pStyle w:val="56"/>
                  </w:pPr>
                  <w:r>
                    <w:rPr>
                      <w:rFonts w:hint="eastAsia"/>
                    </w:rPr>
                    <w:t>PCR实验室走廊</w:t>
                  </w:r>
                </w:p>
              </w:tc>
              <w:tc>
                <w:tcPr>
                  <w:tcW w:w="851" w:type="pct"/>
                  <w:vAlign w:val="center"/>
                </w:tcPr>
                <w:p>
                  <w:pPr>
                    <w:pStyle w:val="56"/>
                  </w:pPr>
                  <w:r>
                    <w:rPr>
                      <w:rFonts w:hint="eastAsia"/>
                    </w:rPr>
                    <w:t>高效过滤</w:t>
                  </w:r>
                </w:p>
              </w:tc>
              <w:tc>
                <w:tcPr>
                  <w:tcW w:w="687" w:type="pct"/>
                  <w:vAlign w:val="center"/>
                </w:tcPr>
                <w:p>
                  <w:pPr>
                    <w:pStyle w:val="56"/>
                  </w:pPr>
                  <w:r>
                    <w:rPr>
                      <w:rFonts w:hint="eastAsia"/>
                    </w:rPr>
                    <w:t>DA</w:t>
                  </w:r>
                  <w:r>
                    <w:t>008</w:t>
                  </w:r>
                </w:p>
              </w:tc>
              <w:tc>
                <w:tcPr>
                  <w:tcW w:w="692" w:type="pct"/>
                  <w:vAlign w:val="center"/>
                </w:tcPr>
                <w:p>
                  <w:pPr>
                    <w:pStyle w:val="56"/>
                  </w:pPr>
                  <w:r>
                    <w:rPr>
                      <w:rFonts w:hint="eastAsia"/>
                    </w:rPr>
                    <w:t>1100</w:t>
                  </w:r>
                </w:p>
              </w:tc>
              <w:tc>
                <w:tcPr>
                  <w:tcW w:w="993" w:type="pct"/>
                  <w:vAlign w:val="center"/>
                </w:tcPr>
                <w:p>
                  <w:pPr>
                    <w:pStyle w:val="56"/>
                  </w:pPr>
                  <w:r>
                    <w:rPr>
                      <w:rFonts w:hint="eastAsia"/>
                    </w:rPr>
                    <w:t>一楼中部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pStyle w:val="56"/>
                  </w:pPr>
                  <w:r>
                    <w:rPr>
                      <w:rFonts w:hint="eastAsia"/>
                    </w:rPr>
                    <w:t>9</w:t>
                  </w:r>
                </w:p>
              </w:tc>
              <w:tc>
                <w:tcPr>
                  <w:tcW w:w="1158" w:type="pct"/>
                  <w:vAlign w:val="center"/>
                </w:tcPr>
                <w:p>
                  <w:pPr>
                    <w:pStyle w:val="56"/>
                  </w:pPr>
                  <w:r>
                    <w:rPr>
                      <w:rFonts w:hint="eastAsia"/>
                    </w:rPr>
                    <w:t>NGS实验室</w:t>
                  </w:r>
                </w:p>
              </w:tc>
              <w:tc>
                <w:tcPr>
                  <w:tcW w:w="851" w:type="pct"/>
                  <w:vAlign w:val="center"/>
                </w:tcPr>
                <w:p>
                  <w:pPr>
                    <w:pStyle w:val="56"/>
                  </w:pPr>
                  <w:r>
                    <w:rPr>
                      <w:rFonts w:hint="eastAsia"/>
                    </w:rPr>
                    <w:t>高效过滤</w:t>
                  </w:r>
                </w:p>
              </w:tc>
              <w:tc>
                <w:tcPr>
                  <w:tcW w:w="687" w:type="pct"/>
                  <w:vAlign w:val="center"/>
                </w:tcPr>
                <w:p>
                  <w:pPr>
                    <w:pStyle w:val="56"/>
                  </w:pPr>
                  <w:r>
                    <w:rPr>
                      <w:rFonts w:hint="eastAsia"/>
                    </w:rPr>
                    <w:t>DA</w:t>
                  </w:r>
                  <w:r>
                    <w:t>009</w:t>
                  </w:r>
                </w:p>
              </w:tc>
              <w:tc>
                <w:tcPr>
                  <w:tcW w:w="692" w:type="pct"/>
                  <w:vAlign w:val="center"/>
                </w:tcPr>
                <w:p>
                  <w:pPr>
                    <w:pStyle w:val="56"/>
                  </w:pPr>
                  <w:r>
                    <w:rPr>
                      <w:rFonts w:hint="eastAsia"/>
                    </w:rPr>
                    <w:t>13000</w:t>
                  </w:r>
                </w:p>
              </w:tc>
              <w:tc>
                <w:tcPr>
                  <w:tcW w:w="993" w:type="pct"/>
                  <w:vAlign w:val="center"/>
                </w:tcPr>
                <w:p>
                  <w:pPr>
                    <w:pStyle w:val="56"/>
                  </w:pPr>
                  <w:r>
                    <w:rPr>
                      <w:rFonts w:hint="eastAsia"/>
                    </w:rPr>
                    <w:t>二楼北侧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pStyle w:val="56"/>
                  </w:pPr>
                  <w:r>
                    <w:rPr>
                      <w:rFonts w:hint="eastAsia"/>
                    </w:rPr>
                    <w:t>1</w:t>
                  </w:r>
                  <w:r>
                    <w:t>0</w:t>
                  </w:r>
                </w:p>
              </w:tc>
              <w:tc>
                <w:tcPr>
                  <w:tcW w:w="1158" w:type="pct"/>
                  <w:vAlign w:val="center"/>
                </w:tcPr>
                <w:p>
                  <w:pPr>
                    <w:pStyle w:val="56"/>
                  </w:pPr>
                  <w:r>
                    <w:rPr>
                      <w:rFonts w:hint="eastAsia"/>
                    </w:rPr>
                    <w:t>微生物前处理室、结核菌</w:t>
                  </w:r>
                </w:p>
              </w:tc>
              <w:tc>
                <w:tcPr>
                  <w:tcW w:w="851" w:type="pct"/>
                  <w:vAlign w:val="center"/>
                </w:tcPr>
                <w:p>
                  <w:pPr>
                    <w:pStyle w:val="56"/>
                  </w:pPr>
                  <w:r>
                    <w:rPr>
                      <w:rFonts w:hint="eastAsia"/>
                    </w:rPr>
                    <w:t>活性炭过滤</w:t>
                  </w:r>
                </w:p>
              </w:tc>
              <w:tc>
                <w:tcPr>
                  <w:tcW w:w="687" w:type="pct"/>
                  <w:vAlign w:val="center"/>
                </w:tcPr>
                <w:p>
                  <w:pPr>
                    <w:pStyle w:val="56"/>
                  </w:pPr>
                  <w:r>
                    <w:rPr>
                      <w:rFonts w:hint="eastAsia"/>
                    </w:rPr>
                    <w:t>DA</w:t>
                  </w:r>
                  <w:r>
                    <w:t>010</w:t>
                  </w:r>
                </w:p>
              </w:tc>
              <w:tc>
                <w:tcPr>
                  <w:tcW w:w="692" w:type="pct"/>
                  <w:vAlign w:val="center"/>
                </w:tcPr>
                <w:p>
                  <w:pPr>
                    <w:pStyle w:val="56"/>
                  </w:pPr>
                  <w:r>
                    <w:rPr>
                      <w:rFonts w:hint="eastAsia"/>
                    </w:rPr>
                    <w:t>13000</w:t>
                  </w:r>
                </w:p>
              </w:tc>
              <w:tc>
                <w:tcPr>
                  <w:tcW w:w="993" w:type="pct"/>
                  <w:vAlign w:val="center"/>
                </w:tcPr>
                <w:p>
                  <w:pPr>
                    <w:pStyle w:val="56"/>
                  </w:pPr>
                  <w:r>
                    <w:rPr>
                      <w:rFonts w:hint="eastAsia"/>
                    </w:rPr>
                    <w:t>NGS实验室西侧及二楼南侧中部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9" w:type="pct"/>
                  <w:vAlign w:val="center"/>
                </w:tcPr>
                <w:p>
                  <w:pPr>
                    <w:pStyle w:val="56"/>
                  </w:pPr>
                  <w:r>
                    <w:rPr>
                      <w:rFonts w:hint="eastAsia"/>
                    </w:rPr>
                    <w:t>1</w:t>
                  </w:r>
                  <w:r>
                    <w:t>1</w:t>
                  </w:r>
                </w:p>
              </w:tc>
              <w:tc>
                <w:tcPr>
                  <w:tcW w:w="1158" w:type="pct"/>
                  <w:vAlign w:val="center"/>
                </w:tcPr>
                <w:p>
                  <w:pPr>
                    <w:pStyle w:val="56"/>
                  </w:pPr>
                  <w:r>
                    <w:rPr>
                      <w:rFonts w:hint="eastAsia"/>
                    </w:rPr>
                    <w:t>尿粪分析室、病理预埋室</w:t>
                  </w:r>
                </w:p>
              </w:tc>
              <w:tc>
                <w:tcPr>
                  <w:tcW w:w="851" w:type="pct"/>
                  <w:vAlign w:val="center"/>
                </w:tcPr>
                <w:p>
                  <w:pPr>
                    <w:pStyle w:val="56"/>
                  </w:pPr>
                  <w:r>
                    <w:rPr>
                      <w:rFonts w:hint="eastAsia"/>
                    </w:rPr>
                    <w:t>活性炭过滤</w:t>
                  </w:r>
                </w:p>
              </w:tc>
              <w:tc>
                <w:tcPr>
                  <w:tcW w:w="687" w:type="pct"/>
                  <w:vAlign w:val="center"/>
                </w:tcPr>
                <w:p>
                  <w:pPr>
                    <w:pStyle w:val="56"/>
                  </w:pPr>
                  <w:r>
                    <w:rPr>
                      <w:rFonts w:hint="eastAsia"/>
                    </w:rPr>
                    <w:t>DA</w:t>
                  </w:r>
                  <w:r>
                    <w:t>011</w:t>
                  </w:r>
                </w:p>
              </w:tc>
              <w:tc>
                <w:tcPr>
                  <w:tcW w:w="692" w:type="pct"/>
                  <w:vAlign w:val="center"/>
                </w:tcPr>
                <w:p>
                  <w:pPr>
                    <w:pStyle w:val="56"/>
                  </w:pPr>
                  <w:r>
                    <w:rPr>
                      <w:rFonts w:hint="eastAsia"/>
                    </w:rPr>
                    <w:t>10000</w:t>
                  </w:r>
                </w:p>
              </w:tc>
              <w:tc>
                <w:tcPr>
                  <w:tcW w:w="993" w:type="pct"/>
                  <w:vAlign w:val="center"/>
                </w:tcPr>
                <w:p>
                  <w:pPr>
                    <w:pStyle w:val="56"/>
                  </w:pPr>
                  <w:r>
                    <w:rPr>
                      <w:rFonts w:hint="eastAsia"/>
                    </w:rPr>
                    <w:t>二楼东南侧</w:t>
                  </w:r>
                </w:p>
              </w:tc>
            </w:tr>
          </w:tbl>
          <w:p>
            <w:pPr>
              <w:pStyle w:val="56"/>
              <w:jc w:val="left"/>
            </w:pPr>
            <w:r>
              <w:rPr>
                <w:rFonts w:hint="eastAsia"/>
                <w:lang w:eastAsia="zh-CN"/>
              </w:rPr>
              <w:t>注：高效过滤主要是处理0.5um以下的灰尘、颗粒物、悬浮物等，对非甲烷总烃无处理作用。</w:t>
            </w:r>
          </w:p>
          <w:p>
            <w:pPr>
              <w:ind w:firstLine="480"/>
            </w:pPr>
            <w:r>
              <w:rPr>
                <w:rFonts w:hint="eastAsia"/>
              </w:rPr>
              <w:t>（3）污水处理站恶臭</w:t>
            </w:r>
          </w:p>
          <w:p>
            <w:pPr>
              <w:ind w:firstLine="480"/>
            </w:pPr>
            <w:r>
              <w:rPr>
                <w:rFonts w:hint="eastAsia"/>
              </w:rPr>
              <w:t>根据业主提供资料，污水处理间及污泥暂存间密闭，收集水池采用钢混结构，污水全部在管路或池体内且加盖，无开放水面，因此，污水处理设施排放的恶臭气体很少。</w:t>
            </w:r>
          </w:p>
          <w:p>
            <w:pPr>
              <w:ind w:firstLine="480"/>
            </w:pPr>
            <w:r>
              <w:rPr>
                <w:rFonts w:hint="eastAsia"/>
              </w:rPr>
              <w:t>参考美国EPA对城市污水处理厂恶臭污染物产生情况的研究，每处理1g的BOD</w:t>
            </w:r>
            <w:r>
              <w:rPr>
                <w:rFonts w:hint="eastAsia"/>
                <w:vertAlign w:val="subscript"/>
              </w:rPr>
              <w:t>5</w:t>
            </w:r>
            <w:r>
              <w:rPr>
                <w:rFonts w:hint="eastAsia"/>
              </w:rPr>
              <w:t>可产生0.0031g的NH</w:t>
            </w:r>
            <w:r>
              <w:rPr>
                <w:rFonts w:hint="eastAsia"/>
                <w:vertAlign w:val="subscript"/>
              </w:rPr>
              <w:t>3</w:t>
            </w:r>
            <w:r>
              <w:rPr>
                <w:rFonts w:hint="eastAsia"/>
              </w:rPr>
              <w:t>和0.00012g的H</w:t>
            </w:r>
            <w:r>
              <w:rPr>
                <w:rFonts w:hint="eastAsia"/>
                <w:vertAlign w:val="subscript"/>
              </w:rPr>
              <w:t>2</w:t>
            </w:r>
            <w:r>
              <w:rPr>
                <w:rFonts w:hint="eastAsia"/>
              </w:rPr>
              <w:t>S。根据水环境影响和保护措施中实验室废水源强，本项目自建污水处理设施中BOD</w:t>
            </w:r>
            <w:r>
              <w:rPr>
                <w:rFonts w:hint="eastAsia"/>
                <w:vertAlign w:val="subscript"/>
              </w:rPr>
              <w:t>5</w:t>
            </w:r>
            <w:r>
              <w:rPr>
                <w:rFonts w:hint="eastAsia"/>
              </w:rPr>
              <w:t>去除量</w:t>
            </w:r>
            <w:r>
              <w:t>36</w:t>
            </w:r>
            <w:r>
              <w:rPr>
                <w:rFonts w:hint="eastAsia"/>
              </w:rPr>
              <w:t>kg/a，则NH</w:t>
            </w:r>
            <w:r>
              <w:rPr>
                <w:rFonts w:hint="eastAsia"/>
                <w:vertAlign w:val="subscript"/>
              </w:rPr>
              <w:t>3</w:t>
            </w:r>
            <w:r>
              <w:t>产生量为</w:t>
            </w:r>
            <w:r>
              <w:rPr>
                <w:rFonts w:hint="eastAsia"/>
              </w:rPr>
              <w:t>0.</w:t>
            </w:r>
            <w:r>
              <w:t>112</w:t>
            </w:r>
            <w:r>
              <w:rPr>
                <w:rFonts w:hint="eastAsia"/>
              </w:rPr>
              <w:t>kg</w:t>
            </w:r>
            <w:r>
              <w:t>/a</w:t>
            </w:r>
            <w:r>
              <w:rPr>
                <w:rFonts w:hint="eastAsia"/>
              </w:rPr>
              <w:t>，H</w:t>
            </w:r>
            <w:r>
              <w:rPr>
                <w:rFonts w:hint="eastAsia"/>
                <w:vertAlign w:val="subscript"/>
              </w:rPr>
              <w:t>2</w:t>
            </w:r>
            <w:r>
              <w:rPr>
                <w:rFonts w:hint="eastAsia"/>
              </w:rPr>
              <w:t>S产生量为0.00</w:t>
            </w:r>
            <w:r>
              <w:t>432</w:t>
            </w:r>
            <w:r>
              <w:rPr>
                <w:rFonts w:hint="eastAsia"/>
              </w:rPr>
              <w:t>kg</w:t>
            </w:r>
            <w:r>
              <w:t>/a。</w:t>
            </w:r>
          </w:p>
          <w:p>
            <w:pPr>
              <w:ind w:firstLine="480"/>
            </w:pPr>
            <w:r>
              <w:rPr>
                <w:rFonts w:hint="eastAsia"/>
              </w:rPr>
              <w:t>项目污水处理设施恶臭气体产生量较少，项目自建污水处理设施为一体化设备，设备全密闭，臭气污染物以无组织形式排放。</w:t>
            </w:r>
          </w:p>
        </w:tc>
      </w:tr>
    </w:tbl>
    <w:p>
      <w:pPr>
        <w:ind w:firstLine="480"/>
        <w:rPr>
          <w:lang w:eastAsia="zh-CN"/>
        </w:rPr>
        <w:sectPr>
          <w:pgSz w:w="11906" w:h="16838"/>
          <w:pgMar w:top="1440" w:right="1800" w:bottom="1440" w:left="1800" w:header="851" w:footer="992" w:gutter="0"/>
          <w:cols w:space="720" w:num="1"/>
          <w:docGrid w:type="lines" w:linePitch="326" w:charSpace="0"/>
        </w:sectPr>
      </w:pP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1" w:hRule="atLeast"/>
          <w:jc w:val="center"/>
        </w:trPr>
        <w:tc>
          <w:tcPr>
            <w:tcW w:w="454" w:type="pct"/>
            <w:vAlign w:val="center"/>
          </w:tcPr>
          <w:p>
            <w:pPr>
              <w:pStyle w:val="306"/>
              <w:spacing w:before="65"/>
            </w:pPr>
            <w:r>
              <w:t>运营期环境影响和保护措施</w:t>
            </w:r>
          </w:p>
        </w:tc>
        <w:tc>
          <w:tcPr>
            <w:tcW w:w="4546" w:type="pct"/>
          </w:tcPr>
          <w:p>
            <w:pPr>
              <w:pStyle w:val="5"/>
              <w:rPr>
                <w:lang w:eastAsia="zh-CN"/>
              </w:rPr>
            </w:pPr>
            <w:r>
              <w:rPr>
                <w:rFonts w:hint="eastAsia"/>
                <w:lang w:eastAsia="zh-CN"/>
              </w:rPr>
              <w:t>废气污染物源强核算</w:t>
            </w:r>
          </w:p>
          <w:p>
            <w:pPr>
              <w:ind w:firstLine="480"/>
            </w:pPr>
            <w:r>
              <w:rPr>
                <w:rFonts w:hint="eastAsia"/>
              </w:rPr>
              <w:t>根据《污染源源强核算技术指南</w:t>
            </w:r>
            <w:r>
              <w:t xml:space="preserve"> 准则》（HJ884-2018），本项目废气污染物排放量核算结果</w:t>
            </w:r>
            <w:r>
              <w:rPr>
                <w:rFonts w:hint="eastAsia"/>
              </w:rPr>
              <w:t>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10</w:t>
            </w:r>
            <w:r>
              <w:fldChar w:fldCharType="end"/>
            </w:r>
            <w:r>
              <w:rPr>
                <w:rFonts w:hint="eastAsia"/>
              </w:rPr>
              <w:t>项目废气污染物排放情况一览表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56"/>
              <w:gridCol w:w="662"/>
              <w:gridCol w:w="578"/>
              <w:gridCol w:w="819"/>
              <w:gridCol w:w="989"/>
              <w:gridCol w:w="866"/>
              <w:gridCol w:w="1042"/>
              <w:gridCol w:w="578"/>
              <w:gridCol w:w="771"/>
              <w:gridCol w:w="606"/>
              <w:gridCol w:w="838"/>
              <w:gridCol w:w="578"/>
              <w:gridCol w:w="860"/>
              <w:gridCol w:w="755"/>
              <w:gridCol w:w="914"/>
              <w:gridCol w:w="100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restart"/>
                  <w:vAlign w:val="center"/>
                </w:tcPr>
                <w:p>
                  <w:pPr>
                    <w:pStyle w:val="56"/>
                    <w:rPr>
                      <w:lang w:eastAsia="zh-CN"/>
                    </w:rPr>
                  </w:pPr>
                  <w:r>
                    <w:rPr>
                      <w:rFonts w:hint="eastAsia"/>
                      <w:lang w:eastAsia="zh-CN"/>
                    </w:rPr>
                    <w:t>排放类型</w:t>
                  </w:r>
                </w:p>
              </w:tc>
              <w:tc>
                <w:tcPr>
                  <w:tcW w:w="306" w:type="pct"/>
                  <w:vMerge w:val="restart"/>
                  <w:vAlign w:val="center"/>
                </w:tcPr>
                <w:p>
                  <w:pPr>
                    <w:pStyle w:val="56"/>
                  </w:pPr>
                  <w:r>
                    <w:t>生产线/工序</w:t>
                  </w:r>
                </w:p>
              </w:tc>
              <w:tc>
                <w:tcPr>
                  <w:tcW w:w="237" w:type="pct"/>
                  <w:vMerge w:val="restart"/>
                  <w:vAlign w:val="center"/>
                </w:tcPr>
                <w:p>
                  <w:pPr>
                    <w:pStyle w:val="56"/>
                  </w:pPr>
                  <w:r>
                    <w:t>污染物</w:t>
                  </w:r>
                </w:p>
              </w:tc>
              <w:tc>
                <w:tcPr>
                  <w:tcW w:w="1537" w:type="pct"/>
                  <w:gridSpan w:val="5"/>
                  <w:vAlign w:val="center"/>
                </w:tcPr>
                <w:p>
                  <w:pPr>
                    <w:pStyle w:val="56"/>
                  </w:pPr>
                  <w:r>
                    <w:t>污染物产生</w:t>
                  </w:r>
                </w:p>
              </w:tc>
              <w:tc>
                <w:tcPr>
                  <w:tcW w:w="1000" w:type="pct"/>
                  <w:gridSpan w:val="4"/>
                  <w:vAlign w:val="center"/>
                </w:tcPr>
                <w:p>
                  <w:pPr>
                    <w:pStyle w:val="56"/>
                  </w:pPr>
                  <w:r>
                    <w:t>治理措施</w:t>
                  </w:r>
                </w:p>
              </w:tc>
              <w:tc>
                <w:tcPr>
                  <w:tcW w:w="1473" w:type="pct"/>
                  <w:gridSpan w:val="5"/>
                  <w:vAlign w:val="center"/>
                </w:tcPr>
                <w:p>
                  <w:pPr>
                    <w:pStyle w:val="56"/>
                  </w:pPr>
                  <w:r>
                    <w:t>污染物排放</w:t>
                  </w:r>
                </w:p>
              </w:tc>
              <w:tc>
                <w:tcPr>
                  <w:tcW w:w="265" w:type="pct"/>
                  <w:vMerge w:val="restart"/>
                  <w:vAlign w:val="center"/>
                </w:tcPr>
                <w:p>
                  <w:pPr>
                    <w:pStyle w:val="56"/>
                  </w:pPr>
                  <w:r>
                    <w:t>年排放时间h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Merge w:val="continue"/>
                  <w:vAlign w:val="center"/>
                </w:tcPr>
                <w:p>
                  <w:pPr>
                    <w:pStyle w:val="56"/>
                  </w:pPr>
                </w:p>
              </w:tc>
              <w:tc>
                <w:tcPr>
                  <w:tcW w:w="237" w:type="pct"/>
                  <w:vMerge w:val="continue"/>
                  <w:vAlign w:val="center"/>
                </w:tcPr>
                <w:p>
                  <w:pPr>
                    <w:pStyle w:val="56"/>
                  </w:pPr>
                </w:p>
              </w:tc>
              <w:tc>
                <w:tcPr>
                  <w:tcW w:w="207" w:type="pct"/>
                  <w:vAlign w:val="center"/>
                </w:tcPr>
                <w:p>
                  <w:pPr>
                    <w:pStyle w:val="56"/>
                  </w:pPr>
                  <w:r>
                    <w:t>核算方法</w:t>
                  </w:r>
                </w:p>
              </w:tc>
              <w:tc>
                <w:tcPr>
                  <w:tcW w:w="293" w:type="pct"/>
                  <w:vAlign w:val="center"/>
                </w:tcPr>
                <w:p>
                  <w:pPr>
                    <w:pStyle w:val="56"/>
                  </w:pPr>
                  <w:r>
                    <w:t>废气产生量</w:t>
                  </w:r>
                  <w:r>
                    <w:rPr>
                      <w:rFonts w:hint="eastAsia"/>
                    </w:rPr>
                    <w:t>（m³/h）</w:t>
                  </w:r>
                </w:p>
              </w:tc>
              <w:tc>
                <w:tcPr>
                  <w:tcW w:w="354" w:type="pct"/>
                  <w:vAlign w:val="center"/>
                </w:tcPr>
                <w:p>
                  <w:pPr>
                    <w:pStyle w:val="56"/>
                  </w:pPr>
                  <w:r>
                    <w:t>产生量kg/a</w:t>
                  </w:r>
                </w:p>
              </w:tc>
              <w:tc>
                <w:tcPr>
                  <w:tcW w:w="310" w:type="pct"/>
                  <w:vAlign w:val="center"/>
                </w:tcPr>
                <w:p>
                  <w:pPr>
                    <w:pStyle w:val="56"/>
                  </w:pPr>
                  <w:r>
                    <w:t>产生浓度mg/m</w:t>
                  </w:r>
                  <w:r>
                    <w:rPr>
                      <w:vertAlign w:val="superscript"/>
                    </w:rPr>
                    <w:t>3</w:t>
                  </w:r>
                </w:p>
              </w:tc>
              <w:tc>
                <w:tcPr>
                  <w:tcW w:w="373" w:type="pct"/>
                  <w:vAlign w:val="center"/>
                </w:tcPr>
                <w:p>
                  <w:pPr>
                    <w:pStyle w:val="56"/>
                  </w:pPr>
                  <w:r>
                    <w:t>污染物产生</w:t>
                  </w:r>
                  <w:r>
                    <w:rPr>
                      <w:rFonts w:hint="eastAsia"/>
                    </w:rPr>
                    <w:t>速率</w:t>
                  </w:r>
                  <w:r>
                    <w:t>kg/h</w:t>
                  </w:r>
                </w:p>
              </w:tc>
              <w:tc>
                <w:tcPr>
                  <w:tcW w:w="207" w:type="pct"/>
                  <w:vAlign w:val="center"/>
                </w:tcPr>
                <w:p>
                  <w:pPr>
                    <w:pStyle w:val="56"/>
                  </w:pPr>
                  <w:r>
                    <w:t>工艺</w:t>
                  </w:r>
                </w:p>
              </w:tc>
              <w:tc>
                <w:tcPr>
                  <w:tcW w:w="276" w:type="pct"/>
                  <w:vAlign w:val="center"/>
                </w:tcPr>
                <w:p>
                  <w:pPr>
                    <w:pStyle w:val="56"/>
                  </w:pPr>
                  <w:r>
                    <w:t>收集效率%</w:t>
                  </w:r>
                </w:p>
              </w:tc>
              <w:tc>
                <w:tcPr>
                  <w:tcW w:w="217" w:type="pct"/>
                  <w:vAlign w:val="center"/>
                </w:tcPr>
                <w:p>
                  <w:pPr>
                    <w:pStyle w:val="56"/>
                  </w:pPr>
                  <w:r>
                    <w:t>处理效率%</w:t>
                  </w:r>
                </w:p>
              </w:tc>
              <w:tc>
                <w:tcPr>
                  <w:tcW w:w="300" w:type="pct"/>
                  <w:vAlign w:val="center"/>
                </w:tcPr>
                <w:p>
                  <w:pPr>
                    <w:pStyle w:val="56"/>
                  </w:pPr>
                  <w:r>
                    <w:t>是否为技术可行</w:t>
                  </w:r>
                </w:p>
              </w:tc>
              <w:tc>
                <w:tcPr>
                  <w:tcW w:w="207" w:type="pct"/>
                  <w:vAlign w:val="center"/>
                </w:tcPr>
                <w:p>
                  <w:pPr>
                    <w:pStyle w:val="56"/>
                  </w:pPr>
                  <w:r>
                    <w:t>核算方法</w:t>
                  </w:r>
                </w:p>
              </w:tc>
              <w:tc>
                <w:tcPr>
                  <w:tcW w:w="308" w:type="pct"/>
                  <w:vAlign w:val="center"/>
                </w:tcPr>
                <w:p>
                  <w:pPr>
                    <w:pStyle w:val="56"/>
                  </w:pPr>
                  <w:r>
                    <w:t>废气排放量m</w:t>
                  </w:r>
                  <w:r>
                    <w:rPr>
                      <w:vertAlign w:val="superscript"/>
                    </w:rPr>
                    <w:t>3</w:t>
                  </w:r>
                  <w:r>
                    <w:t>/h</w:t>
                  </w:r>
                </w:p>
              </w:tc>
              <w:tc>
                <w:tcPr>
                  <w:tcW w:w="270" w:type="pct"/>
                  <w:vAlign w:val="center"/>
                </w:tcPr>
                <w:p>
                  <w:pPr>
                    <w:pStyle w:val="56"/>
                  </w:pPr>
                  <w:r>
                    <w:t>排放量kg/a</w:t>
                  </w:r>
                </w:p>
              </w:tc>
              <w:tc>
                <w:tcPr>
                  <w:tcW w:w="327" w:type="pct"/>
                  <w:vAlign w:val="center"/>
                </w:tcPr>
                <w:p>
                  <w:pPr>
                    <w:pStyle w:val="56"/>
                  </w:pPr>
                  <w:r>
                    <w:t>排放浓度mg/m</w:t>
                  </w:r>
                  <w:r>
                    <w:rPr>
                      <w:vertAlign w:val="superscript"/>
                    </w:rPr>
                    <w:t>3</w:t>
                  </w:r>
                </w:p>
              </w:tc>
              <w:tc>
                <w:tcPr>
                  <w:tcW w:w="361" w:type="pct"/>
                  <w:vAlign w:val="center"/>
                </w:tcPr>
                <w:p>
                  <w:pPr>
                    <w:pStyle w:val="56"/>
                  </w:pPr>
                  <w:r>
                    <w:t>污染物排放</w:t>
                  </w:r>
                  <w:r>
                    <w:rPr>
                      <w:rFonts w:hint="eastAsia"/>
                    </w:rPr>
                    <w:t>速率</w:t>
                  </w:r>
                  <w:r>
                    <w:t>kg/h</w:t>
                  </w:r>
                </w:p>
              </w:tc>
              <w:tc>
                <w:tcPr>
                  <w:tcW w:w="265"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82" w:type="pct"/>
                  <w:vMerge w:val="restart"/>
                  <w:vAlign w:val="center"/>
                </w:tcPr>
                <w:p>
                  <w:pPr>
                    <w:pStyle w:val="56"/>
                    <w:rPr>
                      <w:lang w:eastAsia="zh-CN"/>
                    </w:rPr>
                  </w:pPr>
                  <w:r>
                    <w:rPr>
                      <w:rFonts w:hint="eastAsia"/>
                      <w:lang w:eastAsia="zh-CN"/>
                    </w:rPr>
                    <w:t>有组织</w:t>
                  </w:r>
                </w:p>
              </w:tc>
              <w:tc>
                <w:tcPr>
                  <w:tcW w:w="306" w:type="pct"/>
                  <w:vAlign w:val="center"/>
                </w:tcPr>
                <w:p>
                  <w:pPr>
                    <w:pStyle w:val="56"/>
                  </w:pPr>
                  <w:r>
                    <w:rPr>
                      <w:rFonts w:hint="eastAsia"/>
                    </w:rPr>
                    <w:t>PCR实验室1</w:t>
                  </w:r>
                </w:p>
              </w:tc>
              <w:tc>
                <w:tcPr>
                  <w:tcW w:w="237" w:type="pct"/>
                  <w:vAlign w:val="center"/>
                </w:tcPr>
                <w:p>
                  <w:pPr>
                    <w:pStyle w:val="56"/>
                  </w:pPr>
                  <w:r>
                    <w:rPr>
                      <w:rFonts w:hint="eastAsia"/>
                      <w:lang w:eastAsia="zh-CN"/>
                    </w:rPr>
                    <w:t>非甲烷总烃</w:t>
                  </w:r>
                </w:p>
              </w:tc>
              <w:tc>
                <w:tcPr>
                  <w:tcW w:w="207" w:type="pct"/>
                  <w:vMerge w:val="restart"/>
                  <w:vAlign w:val="center"/>
                </w:tcPr>
                <w:p>
                  <w:pPr>
                    <w:pStyle w:val="56"/>
                  </w:pPr>
                  <w:r>
                    <w:rPr>
                      <w:rFonts w:hint="eastAsia"/>
                      <w:lang w:eastAsia="zh-CN"/>
                    </w:rPr>
                    <w:t>系数法</w:t>
                  </w:r>
                </w:p>
              </w:tc>
              <w:tc>
                <w:tcPr>
                  <w:tcW w:w="293" w:type="pct"/>
                  <w:vAlign w:val="center"/>
                </w:tcPr>
                <w:p>
                  <w:pPr>
                    <w:pStyle w:val="56"/>
                  </w:pPr>
                  <w:r>
                    <w:rPr>
                      <w:rFonts w:hint="eastAsia"/>
                    </w:rPr>
                    <w:t>5000</w:t>
                  </w:r>
                </w:p>
              </w:tc>
              <w:tc>
                <w:tcPr>
                  <w:tcW w:w="354" w:type="pct"/>
                  <w:vAlign w:val="center"/>
                </w:tcPr>
                <w:p>
                  <w:pPr>
                    <w:pStyle w:val="56"/>
                  </w:pPr>
                  <w:r>
                    <w:rPr>
                      <w:rFonts w:hint="eastAsia"/>
                    </w:rPr>
                    <w:t>6.518</w:t>
                  </w:r>
                </w:p>
              </w:tc>
              <w:tc>
                <w:tcPr>
                  <w:tcW w:w="310" w:type="pct"/>
                  <w:vAlign w:val="center"/>
                </w:tcPr>
                <w:p>
                  <w:pPr>
                    <w:pStyle w:val="56"/>
                  </w:pPr>
                  <w:r>
                    <w:rPr>
                      <w:rFonts w:hint="eastAsia"/>
                    </w:rPr>
                    <w:t>0.446</w:t>
                  </w:r>
                </w:p>
              </w:tc>
              <w:tc>
                <w:tcPr>
                  <w:tcW w:w="373" w:type="pct"/>
                  <w:vAlign w:val="center"/>
                </w:tcPr>
                <w:p>
                  <w:pPr>
                    <w:pStyle w:val="56"/>
                  </w:pPr>
                  <w:r>
                    <w:rPr>
                      <w:rFonts w:hint="eastAsia"/>
                    </w:rPr>
                    <w:t>0.00223</w:t>
                  </w:r>
                </w:p>
              </w:tc>
              <w:tc>
                <w:tcPr>
                  <w:tcW w:w="207" w:type="pct"/>
                  <w:vMerge w:val="restart"/>
                  <w:vAlign w:val="center"/>
                </w:tcPr>
                <w:p>
                  <w:pPr>
                    <w:pStyle w:val="56"/>
                  </w:pPr>
                  <w:r>
                    <w:rPr>
                      <w:rFonts w:hint="eastAsia"/>
                      <w:lang w:eastAsia="zh-CN"/>
                    </w:rPr>
                    <w:t>高效过滤</w:t>
                  </w:r>
                </w:p>
              </w:tc>
              <w:tc>
                <w:tcPr>
                  <w:tcW w:w="276" w:type="pct"/>
                  <w:vMerge w:val="restart"/>
                  <w:vAlign w:val="center"/>
                </w:tcPr>
                <w:p>
                  <w:pPr>
                    <w:pStyle w:val="56"/>
                    <w:rPr>
                      <w:lang w:eastAsia="zh-CN"/>
                    </w:rPr>
                  </w:pPr>
                  <w:r>
                    <w:rPr>
                      <w:rFonts w:hint="eastAsia"/>
                      <w:lang w:eastAsia="zh-CN"/>
                    </w:rPr>
                    <w:t>4</w:t>
                  </w:r>
                  <w:r>
                    <w:rPr>
                      <w:lang w:eastAsia="zh-CN"/>
                    </w:rPr>
                    <w:t>0</w:t>
                  </w:r>
                </w:p>
              </w:tc>
              <w:tc>
                <w:tcPr>
                  <w:tcW w:w="217" w:type="pct"/>
                  <w:vMerge w:val="restart"/>
                  <w:vAlign w:val="center"/>
                </w:tcPr>
                <w:p>
                  <w:pPr>
                    <w:pStyle w:val="56"/>
                    <w:rPr>
                      <w:lang w:eastAsia="zh-CN"/>
                    </w:rPr>
                  </w:pPr>
                  <w:r>
                    <w:rPr>
                      <w:rFonts w:hint="eastAsia"/>
                      <w:lang w:eastAsia="zh-CN"/>
                    </w:rPr>
                    <w:t>0</w:t>
                  </w:r>
                </w:p>
              </w:tc>
              <w:tc>
                <w:tcPr>
                  <w:tcW w:w="300" w:type="pct"/>
                  <w:vMerge w:val="restart"/>
                  <w:vAlign w:val="center"/>
                </w:tcPr>
                <w:p>
                  <w:pPr>
                    <w:pStyle w:val="56"/>
                    <w:rPr>
                      <w:lang w:eastAsia="zh-CN"/>
                    </w:rPr>
                  </w:pPr>
                  <w:r>
                    <w:rPr>
                      <w:rFonts w:hint="eastAsia"/>
                      <w:lang w:eastAsia="zh-CN"/>
                    </w:rPr>
                    <w:t>否</w:t>
                  </w:r>
                </w:p>
              </w:tc>
              <w:tc>
                <w:tcPr>
                  <w:tcW w:w="207" w:type="pct"/>
                  <w:vMerge w:val="restart"/>
                  <w:vAlign w:val="center"/>
                </w:tcPr>
                <w:p>
                  <w:pPr>
                    <w:pStyle w:val="56"/>
                  </w:pPr>
                  <w:r>
                    <w:t>系数法</w:t>
                  </w:r>
                </w:p>
              </w:tc>
              <w:tc>
                <w:tcPr>
                  <w:tcW w:w="308" w:type="pct"/>
                  <w:vAlign w:val="center"/>
                </w:tcPr>
                <w:p>
                  <w:pPr>
                    <w:pStyle w:val="56"/>
                  </w:pPr>
                  <w:r>
                    <w:rPr>
                      <w:rFonts w:hint="eastAsia"/>
                    </w:rPr>
                    <w:t>5000</w:t>
                  </w:r>
                </w:p>
              </w:tc>
              <w:tc>
                <w:tcPr>
                  <w:tcW w:w="270" w:type="pct"/>
                  <w:vAlign w:val="center"/>
                </w:tcPr>
                <w:p>
                  <w:pPr>
                    <w:pStyle w:val="56"/>
                  </w:pPr>
                  <w:r>
                    <w:rPr>
                      <w:rFonts w:hint="eastAsia"/>
                    </w:rPr>
                    <w:t>2.607</w:t>
                  </w:r>
                </w:p>
              </w:tc>
              <w:tc>
                <w:tcPr>
                  <w:tcW w:w="327" w:type="pct"/>
                  <w:vAlign w:val="center"/>
                </w:tcPr>
                <w:p>
                  <w:pPr>
                    <w:pStyle w:val="56"/>
                  </w:pPr>
                  <w:r>
                    <w:rPr>
                      <w:rFonts w:hint="eastAsia"/>
                    </w:rPr>
                    <w:t>0.179</w:t>
                  </w:r>
                </w:p>
              </w:tc>
              <w:tc>
                <w:tcPr>
                  <w:tcW w:w="361" w:type="pct"/>
                  <w:vAlign w:val="center"/>
                </w:tcPr>
                <w:p>
                  <w:pPr>
                    <w:pStyle w:val="56"/>
                  </w:pPr>
                  <w:r>
                    <w:rPr>
                      <w:rFonts w:hint="eastAsia"/>
                    </w:rPr>
                    <w:t>8</w:t>
                  </w:r>
                  <w:r>
                    <w:t>.</w:t>
                  </w:r>
                  <w:r>
                    <w:rPr>
                      <w:rFonts w:hint="eastAsia"/>
                    </w:rPr>
                    <w:t>93</w:t>
                  </w:r>
                  <w:r>
                    <w:rPr>
                      <w:rFonts w:hint="eastAsia"/>
                      <w:lang w:eastAsia="zh-CN"/>
                    </w:rPr>
                    <w:t>×</w:t>
                  </w:r>
                  <w:r>
                    <w:rPr>
                      <w:lang w:eastAsia="zh-CN"/>
                    </w:rPr>
                    <w:t>10</w:t>
                  </w:r>
                  <w:r>
                    <w:rPr>
                      <w:vertAlign w:val="superscript"/>
                      <w:lang w:eastAsia="zh-CN"/>
                    </w:rPr>
                    <w:t>-4</w:t>
                  </w:r>
                </w:p>
              </w:tc>
              <w:tc>
                <w:tcPr>
                  <w:tcW w:w="265" w:type="pct"/>
                  <w:vAlign w:val="center"/>
                </w:tcPr>
                <w:p>
                  <w:pPr>
                    <w:pStyle w:val="56"/>
                    <w:rPr>
                      <w:lang w:eastAsia="zh-CN"/>
                    </w:rPr>
                  </w:pPr>
                  <w:r>
                    <w:rPr>
                      <w:rFonts w:hint="eastAsia"/>
                      <w:lang w:eastAsia="zh-CN"/>
                    </w:rPr>
                    <w:t>2</w:t>
                  </w:r>
                  <w:r>
                    <w:rPr>
                      <w:lang w:eastAsia="zh-CN"/>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PCR实验室1试剂准备室</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1500</w:t>
                  </w:r>
                </w:p>
              </w:tc>
              <w:tc>
                <w:tcPr>
                  <w:tcW w:w="354" w:type="pct"/>
                  <w:vAlign w:val="center"/>
                </w:tcPr>
                <w:p>
                  <w:pPr>
                    <w:pStyle w:val="56"/>
                  </w:pPr>
                  <w:r>
                    <w:rPr>
                      <w:rFonts w:hint="eastAsia"/>
                    </w:rPr>
                    <w:t>3.259</w:t>
                  </w:r>
                </w:p>
              </w:tc>
              <w:tc>
                <w:tcPr>
                  <w:tcW w:w="310" w:type="pct"/>
                  <w:vAlign w:val="center"/>
                </w:tcPr>
                <w:p>
                  <w:pPr>
                    <w:pStyle w:val="56"/>
                  </w:pPr>
                  <w:r>
                    <w:rPr>
                      <w:rFonts w:hint="eastAsia"/>
                    </w:rPr>
                    <w:t>0.744</w:t>
                  </w:r>
                </w:p>
              </w:tc>
              <w:tc>
                <w:tcPr>
                  <w:tcW w:w="373" w:type="pct"/>
                  <w:vAlign w:val="center"/>
                </w:tcPr>
                <w:p>
                  <w:pPr>
                    <w:pStyle w:val="56"/>
                  </w:pPr>
                  <w:r>
                    <w:rPr>
                      <w:rFonts w:hint="eastAsia"/>
                    </w:rPr>
                    <w:t>0.00112</w:t>
                  </w:r>
                </w:p>
              </w:tc>
              <w:tc>
                <w:tcPr>
                  <w:tcW w:w="207" w:type="pct"/>
                  <w:vMerge w:val="continue"/>
                  <w:vAlign w:val="center"/>
                </w:tcPr>
                <w:p>
                  <w:pPr>
                    <w:pStyle w:val="56"/>
                  </w:pPr>
                </w:p>
              </w:tc>
              <w:tc>
                <w:tcPr>
                  <w:tcW w:w="276" w:type="pct"/>
                  <w:vMerge w:val="continue"/>
                  <w:vAlign w:val="center"/>
                </w:tcPr>
                <w:p>
                  <w:pPr>
                    <w:pStyle w:val="56"/>
                  </w:pPr>
                </w:p>
              </w:tc>
              <w:tc>
                <w:tcPr>
                  <w:tcW w:w="217" w:type="pct"/>
                  <w:vMerge w:val="continue"/>
                  <w:vAlign w:val="center"/>
                </w:tcPr>
                <w:p>
                  <w:pPr>
                    <w:pStyle w:val="56"/>
                  </w:pPr>
                </w:p>
              </w:tc>
              <w:tc>
                <w:tcPr>
                  <w:tcW w:w="300" w:type="pct"/>
                  <w:vMerge w:val="continue"/>
                  <w:vAlign w:val="center"/>
                </w:tcPr>
                <w:p>
                  <w:pPr>
                    <w:pStyle w:val="56"/>
                  </w:pPr>
                </w:p>
              </w:tc>
              <w:tc>
                <w:tcPr>
                  <w:tcW w:w="207" w:type="pct"/>
                  <w:vMerge w:val="continue"/>
                  <w:vAlign w:val="center"/>
                </w:tcPr>
                <w:p>
                  <w:pPr>
                    <w:pStyle w:val="56"/>
                  </w:pPr>
                </w:p>
              </w:tc>
              <w:tc>
                <w:tcPr>
                  <w:tcW w:w="308" w:type="pct"/>
                  <w:vAlign w:val="center"/>
                </w:tcPr>
                <w:p>
                  <w:pPr>
                    <w:pStyle w:val="56"/>
                  </w:pPr>
                  <w:r>
                    <w:rPr>
                      <w:rFonts w:hint="eastAsia"/>
                    </w:rPr>
                    <w:t>1500</w:t>
                  </w:r>
                </w:p>
              </w:tc>
              <w:tc>
                <w:tcPr>
                  <w:tcW w:w="270" w:type="pct"/>
                  <w:vAlign w:val="center"/>
                </w:tcPr>
                <w:p>
                  <w:pPr>
                    <w:pStyle w:val="56"/>
                  </w:pPr>
                  <w:r>
                    <w:rPr>
                      <w:rFonts w:hint="eastAsia"/>
                    </w:rPr>
                    <w:t>1.304</w:t>
                  </w:r>
                </w:p>
              </w:tc>
              <w:tc>
                <w:tcPr>
                  <w:tcW w:w="327" w:type="pct"/>
                  <w:vAlign w:val="center"/>
                </w:tcPr>
                <w:p>
                  <w:pPr>
                    <w:pStyle w:val="56"/>
                  </w:pPr>
                  <w:r>
                    <w:rPr>
                      <w:rFonts w:hint="eastAsia"/>
                    </w:rPr>
                    <w:t>0.298</w:t>
                  </w:r>
                </w:p>
              </w:tc>
              <w:tc>
                <w:tcPr>
                  <w:tcW w:w="361" w:type="pct"/>
                  <w:vAlign w:val="center"/>
                </w:tcPr>
                <w:p>
                  <w:pPr>
                    <w:pStyle w:val="56"/>
                  </w:pPr>
                  <w:r>
                    <w:rPr>
                      <w:rFonts w:hint="eastAsia"/>
                    </w:rPr>
                    <w:t>4</w:t>
                  </w:r>
                  <w:r>
                    <w:t>.</w:t>
                  </w:r>
                  <w:r>
                    <w:rPr>
                      <w:rFonts w:hint="eastAsia"/>
                    </w:rPr>
                    <w:t>46</w:t>
                  </w:r>
                  <w:r>
                    <w:rPr>
                      <w:rFonts w:hint="eastAsia"/>
                      <w:lang w:eastAsia="zh-CN"/>
                    </w:rPr>
                    <w:t>×</w:t>
                  </w:r>
                  <w:r>
                    <w:rPr>
                      <w:lang w:eastAsia="zh-CN"/>
                    </w:rPr>
                    <w:t>10</w:t>
                  </w:r>
                  <w:r>
                    <w:rPr>
                      <w:vertAlign w:val="superscript"/>
                      <w:lang w:eastAsia="zh-CN"/>
                    </w:rPr>
                    <w:t>-4</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PCR实验室2样本制备室</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7800</w:t>
                  </w:r>
                </w:p>
              </w:tc>
              <w:tc>
                <w:tcPr>
                  <w:tcW w:w="354" w:type="pct"/>
                  <w:vAlign w:val="center"/>
                </w:tcPr>
                <w:p>
                  <w:pPr>
                    <w:pStyle w:val="56"/>
                  </w:pPr>
                  <w:r>
                    <w:rPr>
                      <w:rFonts w:hint="eastAsia"/>
                    </w:rPr>
                    <w:t>16.294</w:t>
                  </w:r>
                </w:p>
              </w:tc>
              <w:tc>
                <w:tcPr>
                  <w:tcW w:w="310" w:type="pct"/>
                  <w:vAlign w:val="center"/>
                </w:tcPr>
                <w:p>
                  <w:pPr>
                    <w:pStyle w:val="56"/>
                  </w:pPr>
                  <w:r>
                    <w:rPr>
                      <w:rFonts w:hint="eastAsia"/>
                    </w:rPr>
                    <w:t>0.715</w:t>
                  </w:r>
                </w:p>
              </w:tc>
              <w:tc>
                <w:tcPr>
                  <w:tcW w:w="373" w:type="pct"/>
                  <w:vAlign w:val="center"/>
                </w:tcPr>
                <w:p>
                  <w:pPr>
                    <w:pStyle w:val="56"/>
                  </w:pPr>
                  <w:r>
                    <w:rPr>
                      <w:rFonts w:hint="eastAsia"/>
                    </w:rPr>
                    <w:t>0.00558</w:t>
                  </w:r>
                </w:p>
              </w:tc>
              <w:tc>
                <w:tcPr>
                  <w:tcW w:w="207" w:type="pct"/>
                  <w:vMerge w:val="continue"/>
                  <w:vAlign w:val="center"/>
                </w:tcPr>
                <w:p>
                  <w:pPr>
                    <w:pStyle w:val="56"/>
                  </w:pPr>
                </w:p>
              </w:tc>
              <w:tc>
                <w:tcPr>
                  <w:tcW w:w="276" w:type="pct"/>
                  <w:vMerge w:val="continue"/>
                  <w:vAlign w:val="center"/>
                </w:tcPr>
                <w:p>
                  <w:pPr>
                    <w:pStyle w:val="56"/>
                  </w:pPr>
                </w:p>
              </w:tc>
              <w:tc>
                <w:tcPr>
                  <w:tcW w:w="217" w:type="pct"/>
                  <w:vMerge w:val="continue"/>
                  <w:vAlign w:val="center"/>
                </w:tcPr>
                <w:p>
                  <w:pPr>
                    <w:pStyle w:val="56"/>
                  </w:pPr>
                </w:p>
              </w:tc>
              <w:tc>
                <w:tcPr>
                  <w:tcW w:w="300" w:type="pct"/>
                  <w:vMerge w:val="continue"/>
                  <w:vAlign w:val="center"/>
                </w:tcPr>
                <w:p>
                  <w:pPr>
                    <w:pStyle w:val="56"/>
                  </w:pPr>
                </w:p>
              </w:tc>
              <w:tc>
                <w:tcPr>
                  <w:tcW w:w="207" w:type="pct"/>
                  <w:vMerge w:val="continue"/>
                  <w:vAlign w:val="center"/>
                </w:tcPr>
                <w:p>
                  <w:pPr>
                    <w:pStyle w:val="56"/>
                  </w:pPr>
                </w:p>
              </w:tc>
              <w:tc>
                <w:tcPr>
                  <w:tcW w:w="308" w:type="pct"/>
                  <w:vAlign w:val="center"/>
                </w:tcPr>
                <w:p>
                  <w:pPr>
                    <w:pStyle w:val="56"/>
                  </w:pPr>
                  <w:r>
                    <w:rPr>
                      <w:rFonts w:hint="eastAsia"/>
                    </w:rPr>
                    <w:t>7800</w:t>
                  </w:r>
                </w:p>
              </w:tc>
              <w:tc>
                <w:tcPr>
                  <w:tcW w:w="270" w:type="pct"/>
                  <w:vAlign w:val="center"/>
                </w:tcPr>
                <w:p>
                  <w:pPr>
                    <w:pStyle w:val="56"/>
                  </w:pPr>
                  <w:r>
                    <w:rPr>
                      <w:rFonts w:hint="eastAsia"/>
                    </w:rPr>
                    <w:t>6.518</w:t>
                  </w:r>
                </w:p>
              </w:tc>
              <w:tc>
                <w:tcPr>
                  <w:tcW w:w="327" w:type="pct"/>
                  <w:vAlign w:val="center"/>
                </w:tcPr>
                <w:p>
                  <w:pPr>
                    <w:pStyle w:val="56"/>
                  </w:pPr>
                  <w:r>
                    <w:rPr>
                      <w:rFonts w:hint="eastAsia"/>
                    </w:rPr>
                    <w:t>0.286</w:t>
                  </w:r>
                </w:p>
              </w:tc>
              <w:tc>
                <w:tcPr>
                  <w:tcW w:w="361" w:type="pct"/>
                  <w:vAlign w:val="center"/>
                </w:tcPr>
                <w:p>
                  <w:pPr>
                    <w:pStyle w:val="56"/>
                  </w:pPr>
                  <w:r>
                    <w:rPr>
                      <w:rFonts w:hint="eastAsia"/>
                    </w:rPr>
                    <w:t>0.002232</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PCR实验室2扩增及分析室</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4000</w:t>
                  </w:r>
                </w:p>
              </w:tc>
              <w:tc>
                <w:tcPr>
                  <w:tcW w:w="354" w:type="pct"/>
                  <w:vAlign w:val="center"/>
                </w:tcPr>
                <w:p>
                  <w:pPr>
                    <w:pStyle w:val="56"/>
                  </w:pPr>
                  <w:r>
                    <w:rPr>
                      <w:rFonts w:hint="eastAsia"/>
                    </w:rPr>
                    <w:t>6.518</w:t>
                  </w:r>
                </w:p>
              </w:tc>
              <w:tc>
                <w:tcPr>
                  <w:tcW w:w="310" w:type="pct"/>
                  <w:vAlign w:val="center"/>
                </w:tcPr>
                <w:p>
                  <w:pPr>
                    <w:pStyle w:val="56"/>
                  </w:pPr>
                  <w:r>
                    <w:rPr>
                      <w:rFonts w:hint="eastAsia"/>
                    </w:rPr>
                    <w:t>0.558</w:t>
                  </w:r>
                </w:p>
              </w:tc>
              <w:tc>
                <w:tcPr>
                  <w:tcW w:w="373" w:type="pct"/>
                  <w:vAlign w:val="center"/>
                </w:tcPr>
                <w:p>
                  <w:pPr>
                    <w:pStyle w:val="56"/>
                  </w:pPr>
                  <w:r>
                    <w:rPr>
                      <w:rFonts w:hint="eastAsia"/>
                    </w:rPr>
                    <w:t>0.00223</w:t>
                  </w:r>
                </w:p>
              </w:tc>
              <w:tc>
                <w:tcPr>
                  <w:tcW w:w="207" w:type="pct"/>
                  <w:vMerge w:val="continue"/>
                  <w:vAlign w:val="center"/>
                </w:tcPr>
                <w:p>
                  <w:pPr>
                    <w:pStyle w:val="56"/>
                  </w:pPr>
                </w:p>
              </w:tc>
              <w:tc>
                <w:tcPr>
                  <w:tcW w:w="276" w:type="pct"/>
                  <w:vMerge w:val="continue"/>
                  <w:vAlign w:val="center"/>
                </w:tcPr>
                <w:p>
                  <w:pPr>
                    <w:pStyle w:val="56"/>
                  </w:pPr>
                </w:p>
              </w:tc>
              <w:tc>
                <w:tcPr>
                  <w:tcW w:w="217" w:type="pct"/>
                  <w:vMerge w:val="continue"/>
                  <w:vAlign w:val="center"/>
                </w:tcPr>
                <w:p>
                  <w:pPr>
                    <w:pStyle w:val="56"/>
                  </w:pPr>
                </w:p>
              </w:tc>
              <w:tc>
                <w:tcPr>
                  <w:tcW w:w="300" w:type="pct"/>
                  <w:vMerge w:val="continue"/>
                  <w:vAlign w:val="center"/>
                </w:tcPr>
                <w:p>
                  <w:pPr>
                    <w:pStyle w:val="56"/>
                  </w:pPr>
                </w:p>
              </w:tc>
              <w:tc>
                <w:tcPr>
                  <w:tcW w:w="207" w:type="pct"/>
                  <w:vMerge w:val="continue"/>
                  <w:vAlign w:val="center"/>
                </w:tcPr>
                <w:p>
                  <w:pPr>
                    <w:pStyle w:val="56"/>
                  </w:pPr>
                </w:p>
              </w:tc>
              <w:tc>
                <w:tcPr>
                  <w:tcW w:w="308" w:type="pct"/>
                  <w:vAlign w:val="center"/>
                </w:tcPr>
                <w:p>
                  <w:pPr>
                    <w:pStyle w:val="56"/>
                  </w:pPr>
                  <w:r>
                    <w:rPr>
                      <w:rFonts w:hint="eastAsia"/>
                    </w:rPr>
                    <w:t>4000</w:t>
                  </w:r>
                </w:p>
              </w:tc>
              <w:tc>
                <w:tcPr>
                  <w:tcW w:w="270" w:type="pct"/>
                  <w:vAlign w:val="center"/>
                </w:tcPr>
                <w:p>
                  <w:pPr>
                    <w:pStyle w:val="56"/>
                  </w:pPr>
                  <w:r>
                    <w:rPr>
                      <w:rFonts w:hint="eastAsia"/>
                    </w:rPr>
                    <w:t>2.607</w:t>
                  </w:r>
                </w:p>
              </w:tc>
              <w:tc>
                <w:tcPr>
                  <w:tcW w:w="327" w:type="pct"/>
                  <w:vAlign w:val="center"/>
                </w:tcPr>
                <w:p>
                  <w:pPr>
                    <w:pStyle w:val="56"/>
                  </w:pPr>
                  <w:r>
                    <w:rPr>
                      <w:rFonts w:hint="eastAsia"/>
                    </w:rPr>
                    <w:t>0.223</w:t>
                  </w:r>
                </w:p>
              </w:tc>
              <w:tc>
                <w:tcPr>
                  <w:tcW w:w="361" w:type="pct"/>
                  <w:vAlign w:val="center"/>
                </w:tcPr>
                <w:p>
                  <w:pPr>
                    <w:pStyle w:val="56"/>
                  </w:pPr>
                  <w:r>
                    <w:rPr>
                      <w:rFonts w:hint="eastAsia"/>
                    </w:rPr>
                    <w:t>8</w:t>
                  </w:r>
                  <w:r>
                    <w:t>.</w:t>
                  </w:r>
                  <w:r>
                    <w:rPr>
                      <w:rFonts w:hint="eastAsia"/>
                    </w:rPr>
                    <w:t>93</w:t>
                  </w:r>
                  <w:r>
                    <w:rPr>
                      <w:rFonts w:hint="eastAsia"/>
                      <w:lang w:eastAsia="zh-CN"/>
                    </w:rPr>
                    <w:t>×</w:t>
                  </w:r>
                  <w:r>
                    <w:rPr>
                      <w:lang w:eastAsia="zh-CN"/>
                    </w:rPr>
                    <w:t>10</w:t>
                  </w:r>
                  <w:r>
                    <w:rPr>
                      <w:vertAlign w:val="superscript"/>
                      <w:lang w:eastAsia="zh-CN"/>
                    </w:rPr>
                    <w:t>-4</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PCR实验室3试剂准备室</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1500</w:t>
                  </w:r>
                </w:p>
              </w:tc>
              <w:tc>
                <w:tcPr>
                  <w:tcW w:w="354" w:type="pct"/>
                  <w:vAlign w:val="center"/>
                </w:tcPr>
                <w:p>
                  <w:pPr>
                    <w:pStyle w:val="56"/>
                  </w:pPr>
                  <w:r>
                    <w:rPr>
                      <w:rFonts w:hint="eastAsia"/>
                    </w:rPr>
                    <w:t>3.259</w:t>
                  </w:r>
                </w:p>
              </w:tc>
              <w:tc>
                <w:tcPr>
                  <w:tcW w:w="310" w:type="pct"/>
                  <w:vAlign w:val="center"/>
                </w:tcPr>
                <w:p>
                  <w:pPr>
                    <w:pStyle w:val="56"/>
                  </w:pPr>
                  <w:r>
                    <w:rPr>
                      <w:rFonts w:hint="eastAsia"/>
                    </w:rPr>
                    <w:t>0.744</w:t>
                  </w:r>
                </w:p>
              </w:tc>
              <w:tc>
                <w:tcPr>
                  <w:tcW w:w="373" w:type="pct"/>
                  <w:vAlign w:val="center"/>
                </w:tcPr>
                <w:p>
                  <w:pPr>
                    <w:pStyle w:val="56"/>
                  </w:pPr>
                  <w:r>
                    <w:rPr>
                      <w:rFonts w:hint="eastAsia"/>
                    </w:rPr>
                    <w:t>0.00112</w:t>
                  </w:r>
                </w:p>
              </w:tc>
              <w:tc>
                <w:tcPr>
                  <w:tcW w:w="207" w:type="pct"/>
                  <w:vMerge w:val="continue"/>
                  <w:vAlign w:val="center"/>
                </w:tcPr>
                <w:p>
                  <w:pPr>
                    <w:pStyle w:val="56"/>
                  </w:pPr>
                </w:p>
              </w:tc>
              <w:tc>
                <w:tcPr>
                  <w:tcW w:w="276" w:type="pct"/>
                  <w:vMerge w:val="continue"/>
                  <w:vAlign w:val="center"/>
                </w:tcPr>
                <w:p>
                  <w:pPr>
                    <w:pStyle w:val="56"/>
                  </w:pPr>
                </w:p>
              </w:tc>
              <w:tc>
                <w:tcPr>
                  <w:tcW w:w="217" w:type="pct"/>
                  <w:vMerge w:val="continue"/>
                  <w:vAlign w:val="center"/>
                </w:tcPr>
                <w:p>
                  <w:pPr>
                    <w:pStyle w:val="56"/>
                  </w:pPr>
                </w:p>
              </w:tc>
              <w:tc>
                <w:tcPr>
                  <w:tcW w:w="300" w:type="pct"/>
                  <w:vMerge w:val="continue"/>
                  <w:vAlign w:val="center"/>
                </w:tcPr>
                <w:p>
                  <w:pPr>
                    <w:pStyle w:val="56"/>
                  </w:pPr>
                </w:p>
              </w:tc>
              <w:tc>
                <w:tcPr>
                  <w:tcW w:w="207" w:type="pct"/>
                  <w:vMerge w:val="continue"/>
                  <w:vAlign w:val="center"/>
                </w:tcPr>
                <w:p>
                  <w:pPr>
                    <w:pStyle w:val="56"/>
                  </w:pPr>
                </w:p>
              </w:tc>
              <w:tc>
                <w:tcPr>
                  <w:tcW w:w="308" w:type="pct"/>
                  <w:vAlign w:val="center"/>
                </w:tcPr>
                <w:p>
                  <w:pPr>
                    <w:pStyle w:val="56"/>
                  </w:pPr>
                  <w:r>
                    <w:rPr>
                      <w:rFonts w:hint="eastAsia"/>
                    </w:rPr>
                    <w:t>1500</w:t>
                  </w:r>
                </w:p>
              </w:tc>
              <w:tc>
                <w:tcPr>
                  <w:tcW w:w="270" w:type="pct"/>
                  <w:vAlign w:val="center"/>
                </w:tcPr>
                <w:p>
                  <w:pPr>
                    <w:pStyle w:val="56"/>
                  </w:pPr>
                  <w:r>
                    <w:rPr>
                      <w:rFonts w:hint="eastAsia"/>
                    </w:rPr>
                    <w:t>1.304</w:t>
                  </w:r>
                </w:p>
              </w:tc>
              <w:tc>
                <w:tcPr>
                  <w:tcW w:w="327" w:type="pct"/>
                  <w:vAlign w:val="center"/>
                </w:tcPr>
                <w:p>
                  <w:pPr>
                    <w:pStyle w:val="56"/>
                  </w:pPr>
                  <w:r>
                    <w:rPr>
                      <w:rFonts w:hint="eastAsia"/>
                    </w:rPr>
                    <w:t>0.298</w:t>
                  </w:r>
                </w:p>
              </w:tc>
              <w:tc>
                <w:tcPr>
                  <w:tcW w:w="361" w:type="pct"/>
                  <w:vAlign w:val="center"/>
                </w:tcPr>
                <w:p>
                  <w:pPr>
                    <w:pStyle w:val="56"/>
                  </w:pPr>
                  <w:r>
                    <w:rPr>
                      <w:rFonts w:hint="eastAsia"/>
                    </w:rPr>
                    <w:t>4</w:t>
                  </w:r>
                  <w:r>
                    <w:t>.</w:t>
                  </w:r>
                  <w:r>
                    <w:rPr>
                      <w:rFonts w:hint="eastAsia"/>
                    </w:rPr>
                    <w:t>46</w:t>
                  </w:r>
                  <w:r>
                    <w:rPr>
                      <w:rFonts w:hint="eastAsia"/>
                      <w:lang w:eastAsia="zh-CN"/>
                    </w:rPr>
                    <w:t>×</w:t>
                  </w:r>
                  <w:r>
                    <w:rPr>
                      <w:lang w:eastAsia="zh-CN"/>
                    </w:rPr>
                    <w:t>10</w:t>
                  </w:r>
                  <w:r>
                    <w:rPr>
                      <w:vertAlign w:val="superscript"/>
                      <w:lang w:eastAsia="zh-CN"/>
                    </w:rPr>
                    <w:t>-4</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PCR实验室3样本制备室</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14500</w:t>
                  </w:r>
                </w:p>
              </w:tc>
              <w:tc>
                <w:tcPr>
                  <w:tcW w:w="354" w:type="pct"/>
                  <w:vAlign w:val="center"/>
                </w:tcPr>
                <w:p>
                  <w:pPr>
                    <w:pStyle w:val="56"/>
                  </w:pPr>
                  <w:r>
                    <w:rPr>
                      <w:rFonts w:hint="eastAsia"/>
                    </w:rPr>
                    <w:t>13.035</w:t>
                  </w:r>
                </w:p>
              </w:tc>
              <w:tc>
                <w:tcPr>
                  <w:tcW w:w="310" w:type="pct"/>
                  <w:vAlign w:val="center"/>
                </w:tcPr>
                <w:p>
                  <w:pPr>
                    <w:pStyle w:val="56"/>
                  </w:pPr>
                  <w:r>
                    <w:rPr>
                      <w:rFonts w:hint="eastAsia"/>
                    </w:rPr>
                    <w:t>0.308</w:t>
                  </w:r>
                </w:p>
              </w:tc>
              <w:tc>
                <w:tcPr>
                  <w:tcW w:w="373" w:type="pct"/>
                  <w:vAlign w:val="center"/>
                </w:tcPr>
                <w:p>
                  <w:pPr>
                    <w:pStyle w:val="56"/>
                  </w:pPr>
                  <w:r>
                    <w:rPr>
                      <w:rFonts w:hint="eastAsia"/>
                    </w:rPr>
                    <w:t>0.00446</w:t>
                  </w:r>
                </w:p>
              </w:tc>
              <w:tc>
                <w:tcPr>
                  <w:tcW w:w="207" w:type="pct"/>
                  <w:vMerge w:val="continue"/>
                  <w:vAlign w:val="center"/>
                </w:tcPr>
                <w:p>
                  <w:pPr>
                    <w:pStyle w:val="56"/>
                  </w:pPr>
                </w:p>
              </w:tc>
              <w:tc>
                <w:tcPr>
                  <w:tcW w:w="276" w:type="pct"/>
                  <w:vMerge w:val="continue"/>
                  <w:vAlign w:val="center"/>
                </w:tcPr>
                <w:p>
                  <w:pPr>
                    <w:pStyle w:val="56"/>
                  </w:pPr>
                </w:p>
              </w:tc>
              <w:tc>
                <w:tcPr>
                  <w:tcW w:w="217" w:type="pct"/>
                  <w:vMerge w:val="continue"/>
                  <w:vAlign w:val="center"/>
                </w:tcPr>
                <w:p>
                  <w:pPr>
                    <w:pStyle w:val="56"/>
                  </w:pPr>
                </w:p>
              </w:tc>
              <w:tc>
                <w:tcPr>
                  <w:tcW w:w="300" w:type="pct"/>
                  <w:vMerge w:val="continue"/>
                  <w:vAlign w:val="center"/>
                </w:tcPr>
                <w:p>
                  <w:pPr>
                    <w:pStyle w:val="56"/>
                  </w:pPr>
                </w:p>
              </w:tc>
              <w:tc>
                <w:tcPr>
                  <w:tcW w:w="207" w:type="pct"/>
                  <w:vMerge w:val="continue"/>
                  <w:vAlign w:val="center"/>
                </w:tcPr>
                <w:p>
                  <w:pPr>
                    <w:pStyle w:val="56"/>
                  </w:pPr>
                </w:p>
              </w:tc>
              <w:tc>
                <w:tcPr>
                  <w:tcW w:w="308" w:type="pct"/>
                  <w:vAlign w:val="center"/>
                </w:tcPr>
                <w:p>
                  <w:pPr>
                    <w:pStyle w:val="56"/>
                  </w:pPr>
                  <w:r>
                    <w:rPr>
                      <w:rFonts w:hint="eastAsia"/>
                    </w:rPr>
                    <w:t>14500</w:t>
                  </w:r>
                </w:p>
              </w:tc>
              <w:tc>
                <w:tcPr>
                  <w:tcW w:w="270" w:type="pct"/>
                  <w:vAlign w:val="center"/>
                </w:tcPr>
                <w:p>
                  <w:pPr>
                    <w:pStyle w:val="56"/>
                  </w:pPr>
                  <w:r>
                    <w:rPr>
                      <w:rFonts w:hint="eastAsia"/>
                    </w:rPr>
                    <w:t>5.214</w:t>
                  </w:r>
                </w:p>
              </w:tc>
              <w:tc>
                <w:tcPr>
                  <w:tcW w:w="327" w:type="pct"/>
                  <w:vAlign w:val="center"/>
                </w:tcPr>
                <w:p>
                  <w:pPr>
                    <w:pStyle w:val="56"/>
                  </w:pPr>
                  <w:r>
                    <w:rPr>
                      <w:rFonts w:hint="eastAsia"/>
                    </w:rPr>
                    <w:t>0.123</w:t>
                  </w:r>
                </w:p>
              </w:tc>
              <w:tc>
                <w:tcPr>
                  <w:tcW w:w="361" w:type="pct"/>
                  <w:vAlign w:val="center"/>
                </w:tcPr>
                <w:p>
                  <w:pPr>
                    <w:pStyle w:val="56"/>
                  </w:pPr>
                  <w:r>
                    <w:rPr>
                      <w:rFonts w:hint="eastAsia"/>
                    </w:rPr>
                    <w:t>0.001786</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PCR实验室3扩增及分析室</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6000</w:t>
                  </w:r>
                </w:p>
              </w:tc>
              <w:tc>
                <w:tcPr>
                  <w:tcW w:w="354" w:type="pct"/>
                  <w:vAlign w:val="center"/>
                </w:tcPr>
                <w:p>
                  <w:pPr>
                    <w:pStyle w:val="56"/>
                  </w:pPr>
                  <w:r>
                    <w:rPr>
                      <w:rFonts w:hint="eastAsia"/>
                    </w:rPr>
                    <w:t>3.259</w:t>
                  </w:r>
                </w:p>
              </w:tc>
              <w:tc>
                <w:tcPr>
                  <w:tcW w:w="310" w:type="pct"/>
                  <w:vAlign w:val="center"/>
                </w:tcPr>
                <w:p>
                  <w:pPr>
                    <w:pStyle w:val="56"/>
                  </w:pPr>
                  <w:r>
                    <w:rPr>
                      <w:rFonts w:hint="eastAsia"/>
                    </w:rPr>
                    <w:t>0.186</w:t>
                  </w:r>
                </w:p>
              </w:tc>
              <w:tc>
                <w:tcPr>
                  <w:tcW w:w="373" w:type="pct"/>
                  <w:vAlign w:val="center"/>
                </w:tcPr>
                <w:p>
                  <w:pPr>
                    <w:pStyle w:val="56"/>
                  </w:pPr>
                  <w:r>
                    <w:rPr>
                      <w:rFonts w:hint="eastAsia"/>
                    </w:rPr>
                    <w:t>0.00112</w:t>
                  </w:r>
                </w:p>
              </w:tc>
              <w:tc>
                <w:tcPr>
                  <w:tcW w:w="207" w:type="pct"/>
                  <w:vMerge w:val="continue"/>
                  <w:vAlign w:val="center"/>
                </w:tcPr>
                <w:p>
                  <w:pPr>
                    <w:pStyle w:val="56"/>
                  </w:pPr>
                </w:p>
              </w:tc>
              <w:tc>
                <w:tcPr>
                  <w:tcW w:w="276" w:type="pct"/>
                  <w:vMerge w:val="continue"/>
                  <w:vAlign w:val="center"/>
                </w:tcPr>
                <w:p>
                  <w:pPr>
                    <w:pStyle w:val="56"/>
                  </w:pPr>
                </w:p>
              </w:tc>
              <w:tc>
                <w:tcPr>
                  <w:tcW w:w="217" w:type="pct"/>
                  <w:vMerge w:val="continue"/>
                  <w:vAlign w:val="center"/>
                </w:tcPr>
                <w:p>
                  <w:pPr>
                    <w:pStyle w:val="56"/>
                  </w:pPr>
                </w:p>
              </w:tc>
              <w:tc>
                <w:tcPr>
                  <w:tcW w:w="300" w:type="pct"/>
                  <w:vMerge w:val="continue"/>
                  <w:vAlign w:val="center"/>
                </w:tcPr>
                <w:p>
                  <w:pPr>
                    <w:pStyle w:val="56"/>
                  </w:pPr>
                </w:p>
              </w:tc>
              <w:tc>
                <w:tcPr>
                  <w:tcW w:w="207" w:type="pct"/>
                  <w:vMerge w:val="continue"/>
                  <w:vAlign w:val="center"/>
                </w:tcPr>
                <w:p>
                  <w:pPr>
                    <w:pStyle w:val="56"/>
                  </w:pPr>
                </w:p>
              </w:tc>
              <w:tc>
                <w:tcPr>
                  <w:tcW w:w="308" w:type="pct"/>
                  <w:vAlign w:val="center"/>
                </w:tcPr>
                <w:p>
                  <w:pPr>
                    <w:pStyle w:val="56"/>
                  </w:pPr>
                  <w:r>
                    <w:rPr>
                      <w:rFonts w:hint="eastAsia"/>
                    </w:rPr>
                    <w:t>6000</w:t>
                  </w:r>
                </w:p>
              </w:tc>
              <w:tc>
                <w:tcPr>
                  <w:tcW w:w="270" w:type="pct"/>
                  <w:vAlign w:val="center"/>
                </w:tcPr>
                <w:p>
                  <w:pPr>
                    <w:pStyle w:val="56"/>
                  </w:pPr>
                  <w:r>
                    <w:rPr>
                      <w:rFonts w:hint="eastAsia"/>
                    </w:rPr>
                    <w:t>1.304</w:t>
                  </w:r>
                </w:p>
              </w:tc>
              <w:tc>
                <w:tcPr>
                  <w:tcW w:w="327" w:type="pct"/>
                  <w:vAlign w:val="center"/>
                </w:tcPr>
                <w:p>
                  <w:pPr>
                    <w:pStyle w:val="56"/>
                  </w:pPr>
                  <w:r>
                    <w:rPr>
                      <w:rFonts w:hint="eastAsia"/>
                    </w:rPr>
                    <w:t>0.074</w:t>
                  </w:r>
                </w:p>
              </w:tc>
              <w:tc>
                <w:tcPr>
                  <w:tcW w:w="361" w:type="pct"/>
                  <w:vAlign w:val="center"/>
                </w:tcPr>
                <w:p>
                  <w:pPr>
                    <w:pStyle w:val="56"/>
                  </w:pPr>
                  <w:r>
                    <w:rPr>
                      <w:rFonts w:hint="eastAsia"/>
                    </w:rPr>
                    <w:t>4</w:t>
                  </w:r>
                  <w:r>
                    <w:t>.</w:t>
                  </w:r>
                  <w:r>
                    <w:rPr>
                      <w:rFonts w:hint="eastAsia"/>
                    </w:rPr>
                    <w:t>46</w:t>
                  </w:r>
                  <w:r>
                    <w:rPr>
                      <w:rFonts w:hint="eastAsia"/>
                      <w:lang w:eastAsia="zh-CN"/>
                    </w:rPr>
                    <w:t>×</w:t>
                  </w:r>
                  <w:r>
                    <w:rPr>
                      <w:lang w:eastAsia="zh-CN"/>
                    </w:rPr>
                    <w:t>10</w:t>
                  </w:r>
                  <w:r>
                    <w:rPr>
                      <w:vertAlign w:val="superscript"/>
                      <w:lang w:eastAsia="zh-CN"/>
                    </w:rPr>
                    <w:t>-4</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PCR实验室走廊</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1100</w:t>
                  </w:r>
                </w:p>
              </w:tc>
              <w:tc>
                <w:tcPr>
                  <w:tcW w:w="354" w:type="pct"/>
                  <w:vAlign w:val="center"/>
                </w:tcPr>
                <w:p>
                  <w:pPr>
                    <w:pStyle w:val="56"/>
                  </w:pPr>
                  <w:r>
                    <w:rPr>
                      <w:rFonts w:hint="eastAsia"/>
                    </w:rPr>
                    <w:t>5.214</w:t>
                  </w:r>
                </w:p>
              </w:tc>
              <w:tc>
                <w:tcPr>
                  <w:tcW w:w="310" w:type="pct"/>
                  <w:vAlign w:val="center"/>
                </w:tcPr>
                <w:p>
                  <w:pPr>
                    <w:pStyle w:val="56"/>
                  </w:pPr>
                  <w:r>
                    <w:rPr>
                      <w:rFonts w:hint="eastAsia"/>
                    </w:rPr>
                    <w:t>1.623</w:t>
                  </w:r>
                </w:p>
              </w:tc>
              <w:tc>
                <w:tcPr>
                  <w:tcW w:w="373" w:type="pct"/>
                  <w:vAlign w:val="center"/>
                </w:tcPr>
                <w:p>
                  <w:pPr>
                    <w:pStyle w:val="56"/>
                  </w:pPr>
                  <w:r>
                    <w:rPr>
                      <w:rFonts w:hint="eastAsia"/>
                    </w:rPr>
                    <w:t>0.00179</w:t>
                  </w:r>
                </w:p>
              </w:tc>
              <w:tc>
                <w:tcPr>
                  <w:tcW w:w="207" w:type="pct"/>
                  <w:vMerge w:val="continue"/>
                  <w:vAlign w:val="center"/>
                </w:tcPr>
                <w:p>
                  <w:pPr>
                    <w:pStyle w:val="56"/>
                  </w:pPr>
                </w:p>
              </w:tc>
              <w:tc>
                <w:tcPr>
                  <w:tcW w:w="276" w:type="pct"/>
                  <w:vMerge w:val="continue"/>
                  <w:vAlign w:val="center"/>
                </w:tcPr>
                <w:p>
                  <w:pPr>
                    <w:pStyle w:val="56"/>
                  </w:pPr>
                </w:p>
              </w:tc>
              <w:tc>
                <w:tcPr>
                  <w:tcW w:w="217" w:type="pct"/>
                  <w:vMerge w:val="continue"/>
                  <w:vAlign w:val="center"/>
                </w:tcPr>
                <w:p>
                  <w:pPr>
                    <w:pStyle w:val="56"/>
                  </w:pPr>
                </w:p>
              </w:tc>
              <w:tc>
                <w:tcPr>
                  <w:tcW w:w="300" w:type="pct"/>
                  <w:vMerge w:val="continue"/>
                  <w:vAlign w:val="center"/>
                </w:tcPr>
                <w:p>
                  <w:pPr>
                    <w:pStyle w:val="56"/>
                  </w:pPr>
                </w:p>
              </w:tc>
              <w:tc>
                <w:tcPr>
                  <w:tcW w:w="207" w:type="pct"/>
                  <w:vMerge w:val="continue"/>
                  <w:vAlign w:val="center"/>
                </w:tcPr>
                <w:p>
                  <w:pPr>
                    <w:pStyle w:val="56"/>
                  </w:pPr>
                </w:p>
              </w:tc>
              <w:tc>
                <w:tcPr>
                  <w:tcW w:w="308" w:type="pct"/>
                  <w:vAlign w:val="center"/>
                </w:tcPr>
                <w:p>
                  <w:pPr>
                    <w:pStyle w:val="56"/>
                  </w:pPr>
                  <w:r>
                    <w:rPr>
                      <w:rFonts w:hint="eastAsia"/>
                    </w:rPr>
                    <w:t>1100</w:t>
                  </w:r>
                </w:p>
              </w:tc>
              <w:tc>
                <w:tcPr>
                  <w:tcW w:w="270" w:type="pct"/>
                  <w:vAlign w:val="center"/>
                </w:tcPr>
                <w:p>
                  <w:pPr>
                    <w:pStyle w:val="56"/>
                  </w:pPr>
                  <w:r>
                    <w:rPr>
                      <w:rFonts w:hint="eastAsia"/>
                    </w:rPr>
                    <w:t>2.086</w:t>
                  </w:r>
                </w:p>
              </w:tc>
              <w:tc>
                <w:tcPr>
                  <w:tcW w:w="327" w:type="pct"/>
                  <w:vAlign w:val="center"/>
                </w:tcPr>
                <w:p>
                  <w:pPr>
                    <w:pStyle w:val="56"/>
                  </w:pPr>
                  <w:r>
                    <w:rPr>
                      <w:rFonts w:hint="eastAsia"/>
                    </w:rPr>
                    <w:t>0.649</w:t>
                  </w:r>
                </w:p>
              </w:tc>
              <w:tc>
                <w:tcPr>
                  <w:tcW w:w="361" w:type="pct"/>
                  <w:vAlign w:val="center"/>
                </w:tcPr>
                <w:p>
                  <w:pPr>
                    <w:pStyle w:val="56"/>
                  </w:pPr>
                  <w:r>
                    <w:rPr>
                      <w:rFonts w:hint="eastAsia"/>
                    </w:rPr>
                    <w:t>7</w:t>
                  </w:r>
                  <w:r>
                    <w:t>.</w:t>
                  </w:r>
                  <w:r>
                    <w:rPr>
                      <w:rFonts w:hint="eastAsia"/>
                    </w:rPr>
                    <w:t>14</w:t>
                  </w:r>
                  <w:r>
                    <w:rPr>
                      <w:rFonts w:hint="eastAsia"/>
                      <w:lang w:eastAsia="zh-CN"/>
                    </w:rPr>
                    <w:t>×</w:t>
                  </w:r>
                  <w:r>
                    <w:rPr>
                      <w:lang w:eastAsia="zh-CN"/>
                    </w:rPr>
                    <w:t>10</w:t>
                  </w:r>
                  <w:r>
                    <w:rPr>
                      <w:vertAlign w:val="superscript"/>
                      <w:lang w:eastAsia="zh-CN"/>
                    </w:rPr>
                    <w:t>-4</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NGS实验室</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13000</w:t>
                  </w:r>
                </w:p>
              </w:tc>
              <w:tc>
                <w:tcPr>
                  <w:tcW w:w="354" w:type="pct"/>
                  <w:vAlign w:val="center"/>
                </w:tcPr>
                <w:p>
                  <w:pPr>
                    <w:pStyle w:val="56"/>
                  </w:pPr>
                  <w:r>
                    <w:rPr>
                      <w:rFonts w:hint="eastAsia"/>
                    </w:rPr>
                    <w:t>6.518</w:t>
                  </w:r>
                </w:p>
              </w:tc>
              <w:tc>
                <w:tcPr>
                  <w:tcW w:w="310" w:type="pct"/>
                  <w:vAlign w:val="center"/>
                </w:tcPr>
                <w:p>
                  <w:pPr>
                    <w:pStyle w:val="56"/>
                  </w:pPr>
                  <w:r>
                    <w:rPr>
                      <w:rFonts w:hint="eastAsia"/>
                    </w:rPr>
                    <w:t>0.172</w:t>
                  </w:r>
                </w:p>
              </w:tc>
              <w:tc>
                <w:tcPr>
                  <w:tcW w:w="373" w:type="pct"/>
                  <w:vAlign w:val="center"/>
                </w:tcPr>
                <w:p>
                  <w:pPr>
                    <w:pStyle w:val="56"/>
                  </w:pPr>
                  <w:r>
                    <w:rPr>
                      <w:rFonts w:hint="eastAsia"/>
                    </w:rPr>
                    <w:t>0.00223</w:t>
                  </w:r>
                </w:p>
              </w:tc>
              <w:tc>
                <w:tcPr>
                  <w:tcW w:w="207" w:type="pct"/>
                  <w:vMerge w:val="continue"/>
                  <w:vAlign w:val="center"/>
                </w:tcPr>
                <w:p>
                  <w:pPr>
                    <w:pStyle w:val="56"/>
                  </w:pPr>
                </w:p>
              </w:tc>
              <w:tc>
                <w:tcPr>
                  <w:tcW w:w="276" w:type="pct"/>
                  <w:vMerge w:val="continue"/>
                  <w:vAlign w:val="center"/>
                </w:tcPr>
                <w:p>
                  <w:pPr>
                    <w:pStyle w:val="56"/>
                  </w:pPr>
                </w:p>
              </w:tc>
              <w:tc>
                <w:tcPr>
                  <w:tcW w:w="217" w:type="pct"/>
                  <w:vMerge w:val="continue"/>
                  <w:vAlign w:val="center"/>
                </w:tcPr>
                <w:p>
                  <w:pPr>
                    <w:pStyle w:val="56"/>
                  </w:pPr>
                </w:p>
              </w:tc>
              <w:tc>
                <w:tcPr>
                  <w:tcW w:w="300" w:type="pct"/>
                  <w:vMerge w:val="continue"/>
                  <w:vAlign w:val="center"/>
                </w:tcPr>
                <w:p>
                  <w:pPr>
                    <w:pStyle w:val="56"/>
                  </w:pPr>
                </w:p>
              </w:tc>
              <w:tc>
                <w:tcPr>
                  <w:tcW w:w="207" w:type="pct"/>
                  <w:vMerge w:val="continue"/>
                  <w:vAlign w:val="center"/>
                </w:tcPr>
                <w:p>
                  <w:pPr>
                    <w:pStyle w:val="56"/>
                  </w:pPr>
                </w:p>
              </w:tc>
              <w:tc>
                <w:tcPr>
                  <w:tcW w:w="308" w:type="pct"/>
                  <w:vAlign w:val="center"/>
                </w:tcPr>
                <w:p>
                  <w:pPr>
                    <w:pStyle w:val="56"/>
                  </w:pPr>
                  <w:r>
                    <w:rPr>
                      <w:rFonts w:hint="eastAsia"/>
                    </w:rPr>
                    <w:t>13000</w:t>
                  </w:r>
                </w:p>
              </w:tc>
              <w:tc>
                <w:tcPr>
                  <w:tcW w:w="270" w:type="pct"/>
                  <w:vAlign w:val="center"/>
                </w:tcPr>
                <w:p>
                  <w:pPr>
                    <w:pStyle w:val="56"/>
                  </w:pPr>
                  <w:r>
                    <w:rPr>
                      <w:rFonts w:hint="eastAsia"/>
                    </w:rPr>
                    <w:t>2.607</w:t>
                  </w:r>
                </w:p>
              </w:tc>
              <w:tc>
                <w:tcPr>
                  <w:tcW w:w="327" w:type="pct"/>
                  <w:vAlign w:val="center"/>
                </w:tcPr>
                <w:p>
                  <w:pPr>
                    <w:pStyle w:val="56"/>
                  </w:pPr>
                  <w:r>
                    <w:rPr>
                      <w:rFonts w:hint="eastAsia"/>
                    </w:rPr>
                    <w:t>0.069</w:t>
                  </w:r>
                </w:p>
              </w:tc>
              <w:tc>
                <w:tcPr>
                  <w:tcW w:w="361" w:type="pct"/>
                  <w:vAlign w:val="center"/>
                </w:tcPr>
                <w:p>
                  <w:pPr>
                    <w:pStyle w:val="56"/>
                  </w:pPr>
                  <w:r>
                    <w:rPr>
                      <w:rFonts w:hint="eastAsia"/>
                    </w:rPr>
                    <w:t>8</w:t>
                  </w:r>
                  <w:r>
                    <w:t>.</w:t>
                  </w:r>
                  <w:r>
                    <w:rPr>
                      <w:rFonts w:hint="eastAsia"/>
                    </w:rPr>
                    <w:t>93</w:t>
                  </w:r>
                  <w:r>
                    <w:rPr>
                      <w:rFonts w:hint="eastAsia"/>
                      <w:lang w:eastAsia="zh-CN"/>
                    </w:rPr>
                    <w:t>×</w:t>
                  </w:r>
                  <w:r>
                    <w:rPr>
                      <w:lang w:eastAsia="zh-CN"/>
                    </w:rPr>
                    <w:t>10</w:t>
                  </w:r>
                  <w:r>
                    <w:rPr>
                      <w:vertAlign w:val="superscript"/>
                      <w:lang w:eastAsia="zh-CN"/>
                    </w:rPr>
                    <w:t>-4</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微生物前处理室、结核菌</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13000</w:t>
                  </w:r>
                </w:p>
              </w:tc>
              <w:tc>
                <w:tcPr>
                  <w:tcW w:w="354" w:type="pct"/>
                  <w:vAlign w:val="center"/>
                </w:tcPr>
                <w:p>
                  <w:pPr>
                    <w:pStyle w:val="56"/>
                  </w:pPr>
                  <w:r>
                    <w:rPr>
                      <w:rFonts w:hint="eastAsia"/>
                    </w:rPr>
                    <w:t>6.518</w:t>
                  </w:r>
                </w:p>
              </w:tc>
              <w:tc>
                <w:tcPr>
                  <w:tcW w:w="310" w:type="pct"/>
                  <w:vAlign w:val="center"/>
                </w:tcPr>
                <w:p>
                  <w:pPr>
                    <w:pStyle w:val="56"/>
                  </w:pPr>
                  <w:r>
                    <w:rPr>
                      <w:rFonts w:hint="eastAsia"/>
                    </w:rPr>
                    <w:t>0.172</w:t>
                  </w:r>
                </w:p>
              </w:tc>
              <w:tc>
                <w:tcPr>
                  <w:tcW w:w="373" w:type="pct"/>
                  <w:vAlign w:val="center"/>
                </w:tcPr>
                <w:p>
                  <w:pPr>
                    <w:pStyle w:val="56"/>
                  </w:pPr>
                  <w:r>
                    <w:rPr>
                      <w:rFonts w:hint="eastAsia"/>
                    </w:rPr>
                    <w:t>0.00223</w:t>
                  </w:r>
                </w:p>
              </w:tc>
              <w:tc>
                <w:tcPr>
                  <w:tcW w:w="207" w:type="pct"/>
                  <w:vMerge w:val="restart"/>
                  <w:vAlign w:val="center"/>
                </w:tcPr>
                <w:p>
                  <w:pPr>
                    <w:pStyle w:val="56"/>
                  </w:pPr>
                  <w:r>
                    <w:rPr>
                      <w:rFonts w:hint="eastAsia"/>
                      <w:lang w:eastAsia="zh-CN"/>
                    </w:rPr>
                    <w:t>活性炭</w:t>
                  </w:r>
                </w:p>
              </w:tc>
              <w:tc>
                <w:tcPr>
                  <w:tcW w:w="276" w:type="pct"/>
                  <w:vMerge w:val="restart"/>
                  <w:vAlign w:val="center"/>
                </w:tcPr>
                <w:p>
                  <w:pPr>
                    <w:pStyle w:val="56"/>
                    <w:rPr>
                      <w:lang w:eastAsia="zh-CN"/>
                    </w:rPr>
                  </w:pPr>
                  <w:r>
                    <w:rPr>
                      <w:rFonts w:hint="eastAsia"/>
                      <w:lang w:eastAsia="zh-CN"/>
                    </w:rPr>
                    <w:t>4</w:t>
                  </w:r>
                  <w:r>
                    <w:rPr>
                      <w:lang w:eastAsia="zh-CN"/>
                    </w:rPr>
                    <w:t>0</w:t>
                  </w:r>
                </w:p>
              </w:tc>
              <w:tc>
                <w:tcPr>
                  <w:tcW w:w="217" w:type="pct"/>
                  <w:vMerge w:val="restart"/>
                  <w:vAlign w:val="center"/>
                </w:tcPr>
                <w:p>
                  <w:pPr>
                    <w:pStyle w:val="56"/>
                    <w:rPr>
                      <w:lang w:eastAsia="zh-CN"/>
                    </w:rPr>
                  </w:pPr>
                  <w:r>
                    <w:rPr>
                      <w:rFonts w:hint="eastAsia"/>
                      <w:lang w:eastAsia="zh-CN"/>
                    </w:rPr>
                    <w:t>2</w:t>
                  </w:r>
                  <w:r>
                    <w:rPr>
                      <w:lang w:eastAsia="zh-CN"/>
                    </w:rPr>
                    <w:t>0</w:t>
                  </w:r>
                </w:p>
              </w:tc>
              <w:tc>
                <w:tcPr>
                  <w:tcW w:w="300" w:type="pct"/>
                  <w:vMerge w:val="restart"/>
                  <w:vAlign w:val="center"/>
                </w:tcPr>
                <w:p>
                  <w:pPr>
                    <w:pStyle w:val="56"/>
                  </w:pPr>
                  <w:r>
                    <w:rPr>
                      <w:rFonts w:hint="eastAsia"/>
                      <w:lang w:eastAsia="zh-CN"/>
                    </w:rPr>
                    <w:t>是</w:t>
                  </w:r>
                </w:p>
              </w:tc>
              <w:tc>
                <w:tcPr>
                  <w:tcW w:w="207" w:type="pct"/>
                  <w:vMerge w:val="restart"/>
                  <w:vAlign w:val="center"/>
                </w:tcPr>
                <w:p>
                  <w:pPr>
                    <w:pStyle w:val="56"/>
                  </w:pPr>
                  <w:r>
                    <w:rPr>
                      <w:rFonts w:hint="eastAsia"/>
                      <w:lang w:eastAsia="zh-CN"/>
                    </w:rPr>
                    <w:t>系数法</w:t>
                  </w:r>
                </w:p>
              </w:tc>
              <w:tc>
                <w:tcPr>
                  <w:tcW w:w="308" w:type="pct"/>
                  <w:vAlign w:val="center"/>
                </w:tcPr>
                <w:p>
                  <w:pPr>
                    <w:pStyle w:val="56"/>
                  </w:pPr>
                  <w:r>
                    <w:rPr>
                      <w:rFonts w:hint="eastAsia"/>
                    </w:rPr>
                    <w:t>13000</w:t>
                  </w:r>
                </w:p>
              </w:tc>
              <w:tc>
                <w:tcPr>
                  <w:tcW w:w="270" w:type="pct"/>
                  <w:vAlign w:val="center"/>
                </w:tcPr>
                <w:p>
                  <w:pPr>
                    <w:pStyle w:val="56"/>
                  </w:pPr>
                  <w:r>
                    <w:rPr>
                      <w:rFonts w:hint="eastAsia"/>
                    </w:rPr>
                    <w:t>2.086</w:t>
                  </w:r>
                </w:p>
              </w:tc>
              <w:tc>
                <w:tcPr>
                  <w:tcW w:w="327" w:type="pct"/>
                  <w:vAlign w:val="center"/>
                </w:tcPr>
                <w:p>
                  <w:pPr>
                    <w:pStyle w:val="56"/>
                  </w:pPr>
                  <w:r>
                    <w:rPr>
                      <w:rFonts w:hint="eastAsia"/>
                    </w:rPr>
                    <w:t>0.055</w:t>
                  </w:r>
                </w:p>
              </w:tc>
              <w:tc>
                <w:tcPr>
                  <w:tcW w:w="361" w:type="pct"/>
                  <w:vAlign w:val="center"/>
                </w:tcPr>
                <w:p>
                  <w:pPr>
                    <w:pStyle w:val="56"/>
                  </w:pPr>
                  <w:r>
                    <w:rPr>
                      <w:rFonts w:hint="eastAsia"/>
                    </w:rPr>
                    <w:t>7</w:t>
                  </w:r>
                  <w:r>
                    <w:t>.</w:t>
                  </w:r>
                  <w:r>
                    <w:rPr>
                      <w:rFonts w:hint="eastAsia"/>
                    </w:rPr>
                    <w:t>14</w:t>
                  </w:r>
                  <w:r>
                    <w:rPr>
                      <w:rFonts w:hint="eastAsia"/>
                      <w:lang w:eastAsia="zh-CN"/>
                    </w:rPr>
                    <w:t>×</w:t>
                  </w:r>
                  <w:r>
                    <w:rPr>
                      <w:lang w:eastAsia="zh-CN"/>
                    </w:rPr>
                    <w:t>10</w:t>
                  </w:r>
                  <w:r>
                    <w:rPr>
                      <w:vertAlign w:val="superscript"/>
                      <w:lang w:eastAsia="zh-CN"/>
                    </w:rPr>
                    <w:t>-4</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Align w:val="center"/>
                </w:tcPr>
                <w:p>
                  <w:pPr>
                    <w:pStyle w:val="56"/>
                  </w:pPr>
                  <w:r>
                    <w:rPr>
                      <w:rFonts w:hint="eastAsia"/>
                    </w:rPr>
                    <w:t>尿粪分析室、病理预埋室</w:t>
                  </w:r>
                </w:p>
              </w:tc>
              <w:tc>
                <w:tcPr>
                  <w:tcW w:w="237" w:type="pct"/>
                  <w:vAlign w:val="center"/>
                </w:tcPr>
                <w:p>
                  <w:pPr>
                    <w:pStyle w:val="56"/>
                  </w:pPr>
                  <w:r>
                    <w:rPr>
                      <w:rFonts w:hint="eastAsia"/>
                      <w:lang w:eastAsia="zh-CN"/>
                    </w:rPr>
                    <w:t>非甲烷总烃</w:t>
                  </w:r>
                </w:p>
              </w:tc>
              <w:tc>
                <w:tcPr>
                  <w:tcW w:w="207" w:type="pct"/>
                  <w:vMerge w:val="continue"/>
                  <w:vAlign w:val="center"/>
                </w:tcPr>
                <w:p>
                  <w:pPr>
                    <w:pStyle w:val="56"/>
                  </w:pPr>
                </w:p>
              </w:tc>
              <w:tc>
                <w:tcPr>
                  <w:tcW w:w="293" w:type="pct"/>
                  <w:vAlign w:val="center"/>
                </w:tcPr>
                <w:p>
                  <w:pPr>
                    <w:pStyle w:val="56"/>
                  </w:pPr>
                  <w:r>
                    <w:rPr>
                      <w:rFonts w:hint="eastAsia"/>
                    </w:rPr>
                    <w:t>10000</w:t>
                  </w:r>
                </w:p>
              </w:tc>
              <w:tc>
                <w:tcPr>
                  <w:tcW w:w="354" w:type="pct"/>
                  <w:vAlign w:val="center"/>
                </w:tcPr>
                <w:p>
                  <w:pPr>
                    <w:pStyle w:val="56"/>
                  </w:pPr>
                  <w:r>
                    <w:rPr>
                      <w:rFonts w:hint="eastAsia"/>
                    </w:rPr>
                    <w:t>3.259</w:t>
                  </w:r>
                </w:p>
              </w:tc>
              <w:tc>
                <w:tcPr>
                  <w:tcW w:w="310" w:type="pct"/>
                  <w:vAlign w:val="center"/>
                </w:tcPr>
                <w:p>
                  <w:pPr>
                    <w:pStyle w:val="56"/>
                  </w:pPr>
                  <w:r>
                    <w:rPr>
                      <w:rFonts w:hint="eastAsia"/>
                    </w:rPr>
                    <w:t>0.112</w:t>
                  </w:r>
                </w:p>
              </w:tc>
              <w:tc>
                <w:tcPr>
                  <w:tcW w:w="373" w:type="pct"/>
                  <w:vAlign w:val="center"/>
                </w:tcPr>
                <w:p>
                  <w:pPr>
                    <w:pStyle w:val="56"/>
                  </w:pPr>
                  <w:r>
                    <w:rPr>
                      <w:rFonts w:hint="eastAsia"/>
                    </w:rPr>
                    <w:t>0.00112</w:t>
                  </w:r>
                </w:p>
              </w:tc>
              <w:tc>
                <w:tcPr>
                  <w:tcW w:w="207" w:type="pct"/>
                  <w:vMerge w:val="continue"/>
                  <w:vAlign w:val="center"/>
                </w:tcPr>
                <w:p>
                  <w:pPr>
                    <w:pStyle w:val="56"/>
                  </w:pPr>
                </w:p>
              </w:tc>
              <w:tc>
                <w:tcPr>
                  <w:tcW w:w="276" w:type="pct"/>
                  <w:vMerge w:val="continue"/>
                  <w:vAlign w:val="center"/>
                </w:tcPr>
                <w:p>
                  <w:pPr>
                    <w:pStyle w:val="56"/>
                  </w:pPr>
                </w:p>
              </w:tc>
              <w:tc>
                <w:tcPr>
                  <w:tcW w:w="217" w:type="pct"/>
                  <w:vMerge w:val="continue"/>
                  <w:vAlign w:val="center"/>
                </w:tcPr>
                <w:p>
                  <w:pPr>
                    <w:pStyle w:val="56"/>
                  </w:pPr>
                </w:p>
              </w:tc>
              <w:tc>
                <w:tcPr>
                  <w:tcW w:w="300" w:type="pct"/>
                  <w:vMerge w:val="continue"/>
                  <w:vAlign w:val="center"/>
                </w:tcPr>
                <w:p>
                  <w:pPr>
                    <w:pStyle w:val="56"/>
                  </w:pPr>
                </w:p>
              </w:tc>
              <w:tc>
                <w:tcPr>
                  <w:tcW w:w="207" w:type="pct"/>
                  <w:vMerge w:val="continue"/>
                  <w:vAlign w:val="center"/>
                </w:tcPr>
                <w:p>
                  <w:pPr>
                    <w:pStyle w:val="56"/>
                  </w:pPr>
                </w:p>
              </w:tc>
              <w:tc>
                <w:tcPr>
                  <w:tcW w:w="308" w:type="pct"/>
                  <w:vAlign w:val="center"/>
                </w:tcPr>
                <w:p>
                  <w:pPr>
                    <w:pStyle w:val="56"/>
                  </w:pPr>
                  <w:r>
                    <w:rPr>
                      <w:rFonts w:hint="eastAsia"/>
                    </w:rPr>
                    <w:t>10000</w:t>
                  </w:r>
                </w:p>
              </w:tc>
              <w:tc>
                <w:tcPr>
                  <w:tcW w:w="270" w:type="pct"/>
                  <w:vAlign w:val="center"/>
                </w:tcPr>
                <w:p>
                  <w:pPr>
                    <w:pStyle w:val="56"/>
                  </w:pPr>
                  <w:r>
                    <w:rPr>
                      <w:rFonts w:hint="eastAsia"/>
                    </w:rPr>
                    <w:t>1.043</w:t>
                  </w:r>
                </w:p>
              </w:tc>
              <w:tc>
                <w:tcPr>
                  <w:tcW w:w="327" w:type="pct"/>
                  <w:vAlign w:val="center"/>
                </w:tcPr>
                <w:p>
                  <w:pPr>
                    <w:pStyle w:val="56"/>
                  </w:pPr>
                  <w:r>
                    <w:rPr>
                      <w:rFonts w:hint="eastAsia"/>
                    </w:rPr>
                    <w:t>0.036</w:t>
                  </w:r>
                </w:p>
              </w:tc>
              <w:tc>
                <w:tcPr>
                  <w:tcW w:w="361" w:type="pct"/>
                  <w:vAlign w:val="center"/>
                </w:tcPr>
                <w:p>
                  <w:pPr>
                    <w:pStyle w:val="56"/>
                  </w:pPr>
                  <w:r>
                    <w:rPr>
                      <w:rFonts w:hint="eastAsia"/>
                    </w:rPr>
                    <w:t>3</w:t>
                  </w:r>
                  <w:r>
                    <w:t>.</w:t>
                  </w:r>
                  <w:r>
                    <w:rPr>
                      <w:rFonts w:hint="eastAsia"/>
                    </w:rPr>
                    <w:t>57</w:t>
                  </w:r>
                  <w:r>
                    <w:rPr>
                      <w:rFonts w:hint="eastAsia"/>
                      <w:lang w:eastAsia="zh-CN"/>
                    </w:rPr>
                    <w:t>×</w:t>
                  </w:r>
                  <w:r>
                    <w:rPr>
                      <w:lang w:eastAsia="zh-CN"/>
                    </w:rPr>
                    <w:t>10</w:t>
                  </w:r>
                  <w:r>
                    <w:rPr>
                      <w:vertAlign w:val="superscript"/>
                      <w:lang w:eastAsia="zh-CN"/>
                    </w:rPr>
                    <w:t>-4</w:t>
                  </w:r>
                </w:p>
              </w:tc>
              <w:tc>
                <w:tcPr>
                  <w:tcW w:w="265" w:type="pct"/>
                  <w:vAlign w:val="center"/>
                </w:tcPr>
                <w:p>
                  <w:pPr>
                    <w:pStyle w:val="56"/>
                  </w:pPr>
                  <w:r>
                    <w:rPr>
                      <w:rFonts w:hint="eastAsia"/>
                    </w:rPr>
                    <w:t>2</w:t>
                  </w:r>
                  <w: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Align w:val="center"/>
                </w:tcPr>
                <w:p>
                  <w:pPr>
                    <w:pStyle w:val="56"/>
                  </w:pPr>
                  <w:r>
                    <w:rPr>
                      <w:rFonts w:hint="eastAsia"/>
                      <w:lang w:eastAsia="zh-CN"/>
                    </w:rPr>
                    <w:t>无组织</w:t>
                  </w:r>
                </w:p>
              </w:tc>
              <w:tc>
                <w:tcPr>
                  <w:tcW w:w="306" w:type="pct"/>
                  <w:vAlign w:val="center"/>
                </w:tcPr>
                <w:p>
                  <w:pPr>
                    <w:pStyle w:val="56"/>
                    <w:rPr>
                      <w:lang w:eastAsia="zh-CN"/>
                    </w:rPr>
                  </w:pPr>
                  <w:r>
                    <w:rPr>
                      <w:rFonts w:hint="eastAsia"/>
                      <w:lang w:eastAsia="zh-CN"/>
                    </w:rPr>
                    <w:t>实验室废气</w:t>
                  </w:r>
                </w:p>
              </w:tc>
              <w:tc>
                <w:tcPr>
                  <w:tcW w:w="237" w:type="pct"/>
                  <w:vAlign w:val="center"/>
                </w:tcPr>
                <w:p>
                  <w:pPr>
                    <w:pStyle w:val="56"/>
                  </w:pPr>
                  <w:r>
                    <w:rPr>
                      <w:rFonts w:hint="eastAsia"/>
                      <w:lang w:eastAsia="zh-CN"/>
                    </w:rPr>
                    <w:t>非甲烷总烃</w:t>
                  </w:r>
                </w:p>
              </w:tc>
              <w:tc>
                <w:tcPr>
                  <w:tcW w:w="207" w:type="pct"/>
                  <w:vAlign w:val="center"/>
                </w:tcPr>
                <w:p>
                  <w:pPr>
                    <w:pStyle w:val="56"/>
                  </w:pPr>
                  <w:r>
                    <w:rPr>
                      <w:rFonts w:hint="eastAsia"/>
                      <w:lang w:eastAsia="zh-CN"/>
                    </w:rPr>
                    <w:t>系数法</w:t>
                  </w:r>
                </w:p>
              </w:tc>
              <w:tc>
                <w:tcPr>
                  <w:tcW w:w="293" w:type="pct"/>
                  <w:vAlign w:val="center"/>
                </w:tcPr>
                <w:p>
                  <w:pPr>
                    <w:pStyle w:val="56"/>
                    <w:rPr>
                      <w:lang w:eastAsia="zh-CN"/>
                    </w:rPr>
                  </w:pPr>
                  <w:r>
                    <w:rPr>
                      <w:rFonts w:hint="eastAsia"/>
                      <w:lang w:eastAsia="zh-CN"/>
                    </w:rPr>
                    <w:t>/</w:t>
                  </w:r>
                </w:p>
              </w:tc>
              <w:tc>
                <w:tcPr>
                  <w:tcW w:w="354" w:type="pct"/>
                  <w:vAlign w:val="center"/>
                </w:tcPr>
                <w:p>
                  <w:pPr>
                    <w:pStyle w:val="56"/>
                    <w:rPr>
                      <w:lang w:eastAsia="zh-CN"/>
                    </w:rPr>
                  </w:pPr>
                  <w:r>
                    <w:rPr>
                      <w:lang w:eastAsia="zh-CN"/>
                    </w:rPr>
                    <w:t>44.189</w:t>
                  </w:r>
                </w:p>
              </w:tc>
              <w:tc>
                <w:tcPr>
                  <w:tcW w:w="310" w:type="pct"/>
                  <w:vAlign w:val="center"/>
                </w:tcPr>
                <w:p>
                  <w:pPr>
                    <w:pStyle w:val="56"/>
                    <w:rPr>
                      <w:lang w:eastAsia="zh-CN"/>
                    </w:rPr>
                  </w:pPr>
                  <w:r>
                    <w:rPr>
                      <w:rFonts w:hint="eastAsia"/>
                      <w:lang w:eastAsia="zh-CN"/>
                    </w:rPr>
                    <w:t>/</w:t>
                  </w:r>
                </w:p>
              </w:tc>
              <w:tc>
                <w:tcPr>
                  <w:tcW w:w="373" w:type="pct"/>
                  <w:vAlign w:val="center"/>
                </w:tcPr>
                <w:p>
                  <w:pPr>
                    <w:pStyle w:val="56"/>
                    <w:rPr>
                      <w:lang w:eastAsia="zh-CN"/>
                    </w:rPr>
                  </w:pPr>
                  <w:r>
                    <w:rPr>
                      <w:rFonts w:hint="eastAsia"/>
                      <w:lang w:eastAsia="zh-CN"/>
                    </w:rPr>
                    <w:t>0</w:t>
                  </w:r>
                  <w:r>
                    <w:rPr>
                      <w:lang w:eastAsia="zh-CN"/>
                    </w:rPr>
                    <w:t>.015</w:t>
                  </w:r>
                </w:p>
              </w:tc>
              <w:tc>
                <w:tcPr>
                  <w:tcW w:w="207" w:type="pct"/>
                  <w:vAlign w:val="center"/>
                </w:tcPr>
                <w:p>
                  <w:pPr>
                    <w:pStyle w:val="56"/>
                    <w:rPr>
                      <w:lang w:eastAsia="zh-CN"/>
                    </w:rPr>
                  </w:pPr>
                  <w:r>
                    <w:rPr>
                      <w:rFonts w:hint="eastAsia"/>
                      <w:lang w:eastAsia="zh-CN"/>
                    </w:rPr>
                    <w:t>/</w:t>
                  </w:r>
                </w:p>
              </w:tc>
              <w:tc>
                <w:tcPr>
                  <w:tcW w:w="276" w:type="pct"/>
                  <w:vAlign w:val="center"/>
                </w:tcPr>
                <w:p>
                  <w:pPr>
                    <w:pStyle w:val="56"/>
                    <w:rPr>
                      <w:lang w:eastAsia="zh-CN"/>
                    </w:rPr>
                  </w:pPr>
                  <w:r>
                    <w:rPr>
                      <w:rFonts w:hint="eastAsia"/>
                      <w:lang w:eastAsia="zh-CN"/>
                    </w:rPr>
                    <w:t>/</w:t>
                  </w:r>
                </w:p>
              </w:tc>
              <w:tc>
                <w:tcPr>
                  <w:tcW w:w="217" w:type="pct"/>
                  <w:vAlign w:val="center"/>
                </w:tcPr>
                <w:p>
                  <w:pPr>
                    <w:pStyle w:val="56"/>
                    <w:rPr>
                      <w:lang w:eastAsia="zh-CN"/>
                    </w:rPr>
                  </w:pPr>
                  <w:r>
                    <w:rPr>
                      <w:rFonts w:hint="eastAsia"/>
                      <w:lang w:eastAsia="zh-CN"/>
                    </w:rPr>
                    <w:t>/</w:t>
                  </w:r>
                </w:p>
              </w:tc>
              <w:tc>
                <w:tcPr>
                  <w:tcW w:w="300" w:type="pct"/>
                  <w:vAlign w:val="center"/>
                </w:tcPr>
                <w:p>
                  <w:pPr>
                    <w:pStyle w:val="56"/>
                    <w:rPr>
                      <w:lang w:eastAsia="zh-CN"/>
                    </w:rPr>
                  </w:pPr>
                  <w:r>
                    <w:rPr>
                      <w:rFonts w:hint="eastAsia"/>
                      <w:lang w:eastAsia="zh-CN"/>
                    </w:rPr>
                    <w:t>/</w:t>
                  </w:r>
                </w:p>
              </w:tc>
              <w:tc>
                <w:tcPr>
                  <w:tcW w:w="207" w:type="pct"/>
                  <w:vAlign w:val="center"/>
                </w:tcPr>
                <w:p>
                  <w:pPr>
                    <w:pStyle w:val="56"/>
                  </w:pPr>
                  <w:r>
                    <w:rPr>
                      <w:rFonts w:hint="eastAsia"/>
                      <w:lang w:eastAsia="zh-CN"/>
                    </w:rPr>
                    <w:t>系数法</w:t>
                  </w:r>
                </w:p>
              </w:tc>
              <w:tc>
                <w:tcPr>
                  <w:tcW w:w="308" w:type="pct"/>
                  <w:vAlign w:val="center"/>
                </w:tcPr>
                <w:p>
                  <w:pPr>
                    <w:pStyle w:val="56"/>
                    <w:rPr>
                      <w:lang w:eastAsia="zh-CN"/>
                    </w:rPr>
                  </w:pPr>
                  <w:r>
                    <w:rPr>
                      <w:rFonts w:hint="eastAsia"/>
                      <w:lang w:eastAsia="zh-CN"/>
                    </w:rPr>
                    <w:t>/</w:t>
                  </w:r>
                </w:p>
              </w:tc>
              <w:tc>
                <w:tcPr>
                  <w:tcW w:w="270" w:type="pct"/>
                  <w:vAlign w:val="center"/>
                </w:tcPr>
                <w:p>
                  <w:pPr>
                    <w:pStyle w:val="56"/>
                    <w:rPr>
                      <w:lang w:eastAsia="zh-CN"/>
                    </w:rPr>
                  </w:pPr>
                  <w:r>
                    <w:rPr>
                      <w:lang w:eastAsia="zh-CN"/>
                    </w:rPr>
                    <w:t>44.189</w:t>
                  </w:r>
                </w:p>
              </w:tc>
              <w:tc>
                <w:tcPr>
                  <w:tcW w:w="327" w:type="pct"/>
                  <w:vAlign w:val="center"/>
                </w:tcPr>
                <w:p>
                  <w:pPr>
                    <w:pStyle w:val="56"/>
                    <w:rPr>
                      <w:lang w:eastAsia="zh-CN"/>
                    </w:rPr>
                  </w:pPr>
                  <w:r>
                    <w:rPr>
                      <w:rFonts w:hint="eastAsia"/>
                      <w:lang w:eastAsia="zh-CN"/>
                    </w:rPr>
                    <w:t>/</w:t>
                  </w:r>
                </w:p>
              </w:tc>
              <w:tc>
                <w:tcPr>
                  <w:tcW w:w="361" w:type="pct"/>
                  <w:vAlign w:val="center"/>
                </w:tcPr>
                <w:p>
                  <w:pPr>
                    <w:pStyle w:val="56"/>
                    <w:rPr>
                      <w:lang w:eastAsia="zh-CN"/>
                    </w:rPr>
                  </w:pPr>
                  <w:r>
                    <w:rPr>
                      <w:rFonts w:hint="eastAsia"/>
                      <w:lang w:eastAsia="zh-CN"/>
                    </w:rPr>
                    <w:t>0</w:t>
                  </w:r>
                  <w:r>
                    <w:rPr>
                      <w:lang w:eastAsia="zh-CN"/>
                    </w:rPr>
                    <w:t>.015</w:t>
                  </w:r>
                </w:p>
              </w:tc>
              <w:tc>
                <w:tcPr>
                  <w:tcW w:w="265" w:type="pct"/>
                  <w:vAlign w:val="center"/>
                </w:tcPr>
                <w:p>
                  <w:pPr>
                    <w:pStyle w:val="56"/>
                    <w:rPr>
                      <w:lang w:eastAsia="zh-CN"/>
                    </w:rPr>
                  </w:pPr>
                  <w:r>
                    <w:rPr>
                      <w:rFonts w:hint="eastAsia"/>
                      <w:lang w:eastAsia="zh-CN"/>
                    </w:rPr>
                    <w:t>2</w:t>
                  </w:r>
                  <w:r>
                    <w:rPr>
                      <w:lang w:eastAsia="zh-CN"/>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restart"/>
                  <w:vAlign w:val="center"/>
                </w:tcPr>
                <w:p>
                  <w:pPr>
                    <w:pStyle w:val="56"/>
                  </w:pPr>
                  <w:r>
                    <w:rPr>
                      <w:rFonts w:hint="eastAsia"/>
                      <w:lang w:eastAsia="zh-CN"/>
                    </w:rPr>
                    <w:t>无组织</w:t>
                  </w:r>
                </w:p>
              </w:tc>
              <w:tc>
                <w:tcPr>
                  <w:tcW w:w="306" w:type="pct"/>
                  <w:vMerge w:val="restart"/>
                  <w:vAlign w:val="center"/>
                </w:tcPr>
                <w:p>
                  <w:pPr>
                    <w:pStyle w:val="56"/>
                  </w:pPr>
                  <w:r>
                    <w:rPr>
                      <w:rFonts w:hint="eastAsia"/>
                      <w:lang w:eastAsia="zh-CN"/>
                    </w:rPr>
                    <w:t>污水处理站废气</w:t>
                  </w:r>
                </w:p>
              </w:tc>
              <w:tc>
                <w:tcPr>
                  <w:tcW w:w="237" w:type="pct"/>
                  <w:vAlign w:val="center"/>
                </w:tcPr>
                <w:p>
                  <w:pPr>
                    <w:pStyle w:val="56"/>
                  </w:pPr>
                  <w:r>
                    <w:rPr>
                      <w:rFonts w:hint="eastAsia"/>
                      <w:lang w:eastAsia="zh-CN"/>
                    </w:rPr>
                    <w:t>NH</w:t>
                  </w:r>
                  <w:r>
                    <w:rPr>
                      <w:rFonts w:hint="eastAsia"/>
                      <w:vertAlign w:val="subscript"/>
                      <w:lang w:eastAsia="zh-CN"/>
                    </w:rPr>
                    <w:t>3</w:t>
                  </w:r>
                </w:p>
              </w:tc>
              <w:tc>
                <w:tcPr>
                  <w:tcW w:w="207" w:type="pct"/>
                  <w:vMerge w:val="restart"/>
                  <w:vAlign w:val="center"/>
                </w:tcPr>
                <w:p>
                  <w:pPr>
                    <w:pStyle w:val="56"/>
                  </w:pPr>
                  <w:r>
                    <w:rPr>
                      <w:rFonts w:hint="eastAsia"/>
                      <w:lang w:eastAsia="zh-CN"/>
                    </w:rPr>
                    <w:t>系数法</w:t>
                  </w:r>
                </w:p>
              </w:tc>
              <w:tc>
                <w:tcPr>
                  <w:tcW w:w="293" w:type="pct"/>
                  <w:vAlign w:val="center"/>
                </w:tcPr>
                <w:p>
                  <w:pPr>
                    <w:pStyle w:val="56"/>
                    <w:rPr>
                      <w:lang w:eastAsia="zh-CN"/>
                    </w:rPr>
                  </w:pPr>
                  <w:r>
                    <w:rPr>
                      <w:rFonts w:hint="eastAsia"/>
                      <w:lang w:eastAsia="zh-CN"/>
                    </w:rPr>
                    <w:t>/</w:t>
                  </w:r>
                </w:p>
              </w:tc>
              <w:tc>
                <w:tcPr>
                  <w:tcW w:w="354" w:type="pct"/>
                  <w:vAlign w:val="center"/>
                </w:tcPr>
                <w:p>
                  <w:pPr>
                    <w:pStyle w:val="56"/>
                  </w:pPr>
                  <w:r>
                    <w:rPr>
                      <w:rFonts w:hint="eastAsia"/>
                    </w:rPr>
                    <w:t>0.</w:t>
                  </w:r>
                  <w:r>
                    <w:t>112</w:t>
                  </w:r>
                </w:p>
              </w:tc>
              <w:tc>
                <w:tcPr>
                  <w:tcW w:w="310" w:type="pct"/>
                  <w:vAlign w:val="center"/>
                </w:tcPr>
                <w:p>
                  <w:pPr>
                    <w:pStyle w:val="56"/>
                    <w:rPr>
                      <w:lang w:eastAsia="zh-CN"/>
                    </w:rPr>
                  </w:pPr>
                  <w:r>
                    <w:rPr>
                      <w:rFonts w:hint="eastAsia"/>
                      <w:lang w:eastAsia="zh-CN"/>
                    </w:rPr>
                    <w:t>/</w:t>
                  </w:r>
                </w:p>
              </w:tc>
              <w:tc>
                <w:tcPr>
                  <w:tcW w:w="373" w:type="pct"/>
                  <w:vAlign w:val="center"/>
                </w:tcPr>
                <w:p>
                  <w:pPr>
                    <w:pStyle w:val="56"/>
                    <w:rPr>
                      <w:lang w:eastAsia="zh-CN"/>
                    </w:rPr>
                  </w:pPr>
                  <w:r>
                    <w:rPr>
                      <w:rFonts w:hint="eastAsia"/>
                      <w:lang w:eastAsia="zh-CN"/>
                    </w:rPr>
                    <w:t>3</w:t>
                  </w:r>
                  <w:r>
                    <w:rPr>
                      <w:lang w:eastAsia="zh-CN"/>
                    </w:rPr>
                    <w:t>.84</w:t>
                  </w:r>
                  <w:r>
                    <w:rPr>
                      <w:rFonts w:hint="eastAsia"/>
                      <w:lang w:eastAsia="zh-CN"/>
                    </w:rPr>
                    <w:t>×</w:t>
                  </w:r>
                  <w:r>
                    <w:rPr>
                      <w:lang w:eastAsia="zh-CN"/>
                    </w:rPr>
                    <w:t>10</w:t>
                  </w:r>
                  <w:r>
                    <w:rPr>
                      <w:vertAlign w:val="superscript"/>
                      <w:lang w:eastAsia="zh-CN"/>
                    </w:rPr>
                    <w:t>-5</w:t>
                  </w:r>
                </w:p>
              </w:tc>
              <w:tc>
                <w:tcPr>
                  <w:tcW w:w="207" w:type="pct"/>
                  <w:vAlign w:val="center"/>
                </w:tcPr>
                <w:p>
                  <w:pPr>
                    <w:pStyle w:val="56"/>
                    <w:rPr>
                      <w:lang w:eastAsia="zh-CN"/>
                    </w:rPr>
                  </w:pPr>
                  <w:r>
                    <w:rPr>
                      <w:rFonts w:hint="eastAsia"/>
                      <w:lang w:eastAsia="zh-CN"/>
                    </w:rPr>
                    <w:t>/</w:t>
                  </w:r>
                </w:p>
              </w:tc>
              <w:tc>
                <w:tcPr>
                  <w:tcW w:w="276" w:type="pct"/>
                  <w:vAlign w:val="center"/>
                </w:tcPr>
                <w:p>
                  <w:pPr>
                    <w:pStyle w:val="56"/>
                    <w:rPr>
                      <w:lang w:eastAsia="zh-CN"/>
                    </w:rPr>
                  </w:pPr>
                  <w:r>
                    <w:rPr>
                      <w:rFonts w:hint="eastAsia"/>
                      <w:lang w:eastAsia="zh-CN"/>
                    </w:rPr>
                    <w:t>/</w:t>
                  </w:r>
                </w:p>
              </w:tc>
              <w:tc>
                <w:tcPr>
                  <w:tcW w:w="217" w:type="pct"/>
                  <w:vAlign w:val="center"/>
                </w:tcPr>
                <w:p>
                  <w:pPr>
                    <w:pStyle w:val="56"/>
                    <w:rPr>
                      <w:lang w:eastAsia="zh-CN"/>
                    </w:rPr>
                  </w:pPr>
                  <w:r>
                    <w:rPr>
                      <w:rFonts w:hint="eastAsia"/>
                      <w:lang w:eastAsia="zh-CN"/>
                    </w:rPr>
                    <w:t>/</w:t>
                  </w:r>
                </w:p>
              </w:tc>
              <w:tc>
                <w:tcPr>
                  <w:tcW w:w="300" w:type="pct"/>
                  <w:vAlign w:val="center"/>
                </w:tcPr>
                <w:p>
                  <w:pPr>
                    <w:pStyle w:val="56"/>
                    <w:rPr>
                      <w:lang w:eastAsia="zh-CN"/>
                    </w:rPr>
                  </w:pPr>
                  <w:r>
                    <w:rPr>
                      <w:rFonts w:hint="eastAsia"/>
                      <w:lang w:eastAsia="zh-CN"/>
                    </w:rPr>
                    <w:t>/</w:t>
                  </w:r>
                </w:p>
              </w:tc>
              <w:tc>
                <w:tcPr>
                  <w:tcW w:w="207" w:type="pct"/>
                  <w:vMerge w:val="restart"/>
                  <w:vAlign w:val="center"/>
                </w:tcPr>
                <w:p>
                  <w:pPr>
                    <w:pStyle w:val="56"/>
                    <w:rPr>
                      <w:lang w:eastAsia="zh-CN"/>
                    </w:rPr>
                  </w:pPr>
                  <w:r>
                    <w:rPr>
                      <w:rFonts w:hint="eastAsia"/>
                      <w:lang w:eastAsia="zh-CN"/>
                    </w:rPr>
                    <w:t>系数法</w:t>
                  </w:r>
                </w:p>
              </w:tc>
              <w:tc>
                <w:tcPr>
                  <w:tcW w:w="308" w:type="pct"/>
                  <w:vAlign w:val="center"/>
                </w:tcPr>
                <w:p>
                  <w:pPr>
                    <w:pStyle w:val="56"/>
                    <w:rPr>
                      <w:lang w:eastAsia="zh-CN"/>
                    </w:rPr>
                  </w:pPr>
                  <w:r>
                    <w:rPr>
                      <w:rFonts w:hint="eastAsia"/>
                      <w:lang w:eastAsia="zh-CN"/>
                    </w:rPr>
                    <w:t>/</w:t>
                  </w:r>
                </w:p>
              </w:tc>
              <w:tc>
                <w:tcPr>
                  <w:tcW w:w="270" w:type="pct"/>
                  <w:vAlign w:val="center"/>
                </w:tcPr>
                <w:p>
                  <w:pPr>
                    <w:pStyle w:val="56"/>
                  </w:pPr>
                  <w:r>
                    <w:rPr>
                      <w:rFonts w:hint="eastAsia"/>
                    </w:rPr>
                    <w:t>0.</w:t>
                  </w:r>
                  <w:r>
                    <w:t>112</w:t>
                  </w:r>
                </w:p>
              </w:tc>
              <w:tc>
                <w:tcPr>
                  <w:tcW w:w="327" w:type="pct"/>
                  <w:vAlign w:val="center"/>
                </w:tcPr>
                <w:p>
                  <w:pPr>
                    <w:pStyle w:val="56"/>
                    <w:rPr>
                      <w:lang w:eastAsia="zh-CN"/>
                    </w:rPr>
                  </w:pPr>
                  <w:r>
                    <w:rPr>
                      <w:rFonts w:hint="eastAsia"/>
                      <w:lang w:eastAsia="zh-CN"/>
                    </w:rPr>
                    <w:t>/</w:t>
                  </w:r>
                </w:p>
              </w:tc>
              <w:tc>
                <w:tcPr>
                  <w:tcW w:w="361" w:type="pct"/>
                  <w:vAlign w:val="center"/>
                </w:tcPr>
                <w:p>
                  <w:pPr>
                    <w:pStyle w:val="56"/>
                    <w:rPr>
                      <w:lang w:eastAsia="zh-CN"/>
                    </w:rPr>
                  </w:pPr>
                  <w:r>
                    <w:rPr>
                      <w:rFonts w:hint="eastAsia"/>
                      <w:lang w:eastAsia="zh-CN"/>
                    </w:rPr>
                    <w:t>3</w:t>
                  </w:r>
                  <w:r>
                    <w:rPr>
                      <w:lang w:eastAsia="zh-CN"/>
                    </w:rPr>
                    <w:t>.84</w:t>
                  </w:r>
                  <w:r>
                    <w:rPr>
                      <w:rFonts w:hint="eastAsia"/>
                      <w:lang w:eastAsia="zh-CN"/>
                    </w:rPr>
                    <w:t>×</w:t>
                  </w:r>
                  <w:r>
                    <w:rPr>
                      <w:lang w:eastAsia="zh-CN"/>
                    </w:rPr>
                    <w:t>10</w:t>
                  </w:r>
                  <w:r>
                    <w:rPr>
                      <w:vertAlign w:val="superscript"/>
                      <w:lang w:eastAsia="zh-CN"/>
                    </w:rPr>
                    <w:t>-5</w:t>
                  </w:r>
                </w:p>
              </w:tc>
              <w:tc>
                <w:tcPr>
                  <w:tcW w:w="265" w:type="pct"/>
                  <w:vAlign w:val="center"/>
                </w:tcPr>
                <w:p>
                  <w:pPr>
                    <w:pStyle w:val="56"/>
                    <w:rPr>
                      <w:lang w:eastAsia="zh-CN"/>
                    </w:rPr>
                  </w:pPr>
                  <w:r>
                    <w:rPr>
                      <w:rFonts w:hint="eastAsia"/>
                      <w:lang w:eastAsia="zh-CN"/>
                    </w:rPr>
                    <w:t>2</w:t>
                  </w:r>
                  <w:r>
                    <w:rPr>
                      <w:lang w:eastAsia="zh-CN"/>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 w:type="pct"/>
                  <w:vMerge w:val="continue"/>
                  <w:vAlign w:val="center"/>
                </w:tcPr>
                <w:p>
                  <w:pPr>
                    <w:pStyle w:val="56"/>
                  </w:pPr>
                </w:p>
              </w:tc>
              <w:tc>
                <w:tcPr>
                  <w:tcW w:w="306" w:type="pct"/>
                  <w:vMerge w:val="continue"/>
                  <w:vAlign w:val="center"/>
                </w:tcPr>
                <w:p>
                  <w:pPr>
                    <w:pStyle w:val="56"/>
                  </w:pPr>
                </w:p>
              </w:tc>
              <w:tc>
                <w:tcPr>
                  <w:tcW w:w="237" w:type="pct"/>
                  <w:vAlign w:val="center"/>
                </w:tcPr>
                <w:p>
                  <w:pPr>
                    <w:pStyle w:val="56"/>
                  </w:pPr>
                  <w:r>
                    <w:rPr>
                      <w:rFonts w:hint="eastAsia"/>
                      <w:lang w:eastAsia="zh-CN"/>
                    </w:rPr>
                    <w:t>H</w:t>
                  </w:r>
                  <w:r>
                    <w:rPr>
                      <w:rFonts w:hint="eastAsia"/>
                      <w:vertAlign w:val="subscript"/>
                      <w:lang w:eastAsia="zh-CN"/>
                    </w:rPr>
                    <w:t>2</w:t>
                  </w:r>
                  <w:r>
                    <w:rPr>
                      <w:rFonts w:hint="eastAsia"/>
                      <w:lang w:eastAsia="zh-CN"/>
                    </w:rPr>
                    <w:t>S</w:t>
                  </w:r>
                </w:p>
              </w:tc>
              <w:tc>
                <w:tcPr>
                  <w:tcW w:w="207" w:type="pct"/>
                  <w:vMerge w:val="continue"/>
                  <w:vAlign w:val="center"/>
                </w:tcPr>
                <w:p>
                  <w:pPr>
                    <w:pStyle w:val="56"/>
                  </w:pPr>
                </w:p>
              </w:tc>
              <w:tc>
                <w:tcPr>
                  <w:tcW w:w="293" w:type="pct"/>
                  <w:vAlign w:val="center"/>
                </w:tcPr>
                <w:p>
                  <w:pPr>
                    <w:pStyle w:val="56"/>
                    <w:rPr>
                      <w:lang w:eastAsia="zh-CN"/>
                    </w:rPr>
                  </w:pPr>
                  <w:r>
                    <w:rPr>
                      <w:rFonts w:hint="eastAsia"/>
                      <w:lang w:eastAsia="zh-CN"/>
                    </w:rPr>
                    <w:t>/</w:t>
                  </w:r>
                </w:p>
              </w:tc>
              <w:tc>
                <w:tcPr>
                  <w:tcW w:w="354" w:type="pct"/>
                  <w:vAlign w:val="center"/>
                </w:tcPr>
                <w:p>
                  <w:pPr>
                    <w:pStyle w:val="56"/>
                  </w:pPr>
                  <w:r>
                    <w:rPr>
                      <w:rFonts w:hint="eastAsia"/>
                    </w:rPr>
                    <w:t>0.00</w:t>
                  </w:r>
                  <w:r>
                    <w:t>432</w:t>
                  </w:r>
                </w:p>
              </w:tc>
              <w:tc>
                <w:tcPr>
                  <w:tcW w:w="310" w:type="pct"/>
                  <w:vAlign w:val="center"/>
                </w:tcPr>
                <w:p>
                  <w:pPr>
                    <w:pStyle w:val="56"/>
                    <w:rPr>
                      <w:lang w:eastAsia="zh-CN"/>
                    </w:rPr>
                  </w:pPr>
                  <w:r>
                    <w:rPr>
                      <w:rFonts w:hint="eastAsia"/>
                      <w:lang w:eastAsia="zh-CN"/>
                    </w:rPr>
                    <w:t>/</w:t>
                  </w:r>
                </w:p>
              </w:tc>
              <w:tc>
                <w:tcPr>
                  <w:tcW w:w="373" w:type="pct"/>
                  <w:vAlign w:val="center"/>
                </w:tcPr>
                <w:p>
                  <w:pPr>
                    <w:pStyle w:val="56"/>
                    <w:rPr>
                      <w:lang w:eastAsia="zh-CN"/>
                    </w:rPr>
                  </w:pPr>
                  <w:r>
                    <w:rPr>
                      <w:rFonts w:hint="eastAsia"/>
                      <w:lang w:eastAsia="zh-CN"/>
                    </w:rPr>
                    <w:t>1</w:t>
                  </w:r>
                  <w:r>
                    <w:rPr>
                      <w:lang w:eastAsia="zh-CN"/>
                    </w:rPr>
                    <w:t>.48</w:t>
                  </w:r>
                  <w:r>
                    <w:rPr>
                      <w:rFonts w:hint="eastAsia"/>
                      <w:lang w:eastAsia="zh-CN"/>
                    </w:rPr>
                    <w:t>×</w:t>
                  </w:r>
                  <w:r>
                    <w:rPr>
                      <w:lang w:eastAsia="zh-CN"/>
                    </w:rPr>
                    <w:t>10</w:t>
                  </w:r>
                  <w:r>
                    <w:rPr>
                      <w:vertAlign w:val="superscript"/>
                      <w:lang w:eastAsia="zh-CN"/>
                    </w:rPr>
                    <w:t>-6</w:t>
                  </w:r>
                </w:p>
              </w:tc>
              <w:tc>
                <w:tcPr>
                  <w:tcW w:w="207" w:type="pct"/>
                  <w:vAlign w:val="center"/>
                </w:tcPr>
                <w:p>
                  <w:pPr>
                    <w:pStyle w:val="56"/>
                    <w:rPr>
                      <w:lang w:eastAsia="zh-CN"/>
                    </w:rPr>
                  </w:pPr>
                  <w:r>
                    <w:rPr>
                      <w:rFonts w:hint="eastAsia"/>
                      <w:lang w:eastAsia="zh-CN"/>
                    </w:rPr>
                    <w:t>/</w:t>
                  </w:r>
                </w:p>
              </w:tc>
              <w:tc>
                <w:tcPr>
                  <w:tcW w:w="276" w:type="pct"/>
                  <w:vAlign w:val="center"/>
                </w:tcPr>
                <w:p>
                  <w:pPr>
                    <w:pStyle w:val="56"/>
                    <w:rPr>
                      <w:lang w:eastAsia="zh-CN"/>
                    </w:rPr>
                  </w:pPr>
                  <w:r>
                    <w:rPr>
                      <w:rFonts w:hint="eastAsia"/>
                      <w:lang w:eastAsia="zh-CN"/>
                    </w:rPr>
                    <w:t>/</w:t>
                  </w:r>
                </w:p>
              </w:tc>
              <w:tc>
                <w:tcPr>
                  <w:tcW w:w="217" w:type="pct"/>
                  <w:vAlign w:val="center"/>
                </w:tcPr>
                <w:p>
                  <w:pPr>
                    <w:pStyle w:val="56"/>
                    <w:rPr>
                      <w:lang w:eastAsia="zh-CN"/>
                    </w:rPr>
                  </w:pPr>
                  <w:r>
                    <w:rPr>
                      <w:rFonts w:hint="eastAsia"/>
                      <w:lang w:eastAsia="zh-CN"/>
                    </w:rPr>
                    <w:t>/</w:t>
                  </w:r>
                </w:p>
              </w:tc>
              <w:tc>
                <w:tcPr>
                  <w:tcW w:w="300" w:type="pct"/>
                  <w:vAlign w:val="center"/>
                </w:tcPr>
                <w:p>
                  <w:pPr>
                    <w:pStyle w:val="56"/>
                    <w:rPr>
                      <w:lang w:eastAsia="zh-CN"/>
                    </w:rPr>
                  </w:pPr>
                  <w:r>
                    <w:rPr>
                      <w:rFonts w:hint="eastAsia"/>
                      <w:lang w:eastAsia="zh-CN"/>
                    </w:rPr>
                    <w:t>/</w:t>
                  </w:r>
                </w:p>
              </w:tc>
              <w:tc>
                <w:tcPr>
                  <w:tcW w:w="207" w:type="pct"/>
                  <w:vMerge w:val="continue"/>
                  <w:vAlign w:val="center"/>
                </w:tcPr>
                <w:p>
                  <w:pPr>
                    <w:pStyle w:val="56"/>
                  </w:pPr>
                </w:p>
              </w:tc>
              <w:tc>
                <w:tcPr>
                  <w:tcW w:w="308" w:type="pct"/>
                  <w:vAlign w:val="center"/>
                </w:tcPr>
                <w:p>
                  <w:pPr>
                    <w:pStyle w:val="56"/>
                    <w:rPr>
                      <w:lang w:eastAsia="zh-CN"/>
                    </w:rPr>
                  </w:pPr>
                  <w:r>
                    <w:rPr>
                      <w:rFonts w:hint="eastAsia"/>
                      <w:lang w:eastAsia="zh-CN"/>
                    </w:rPr>
                    <w:t>/</w:t>
                  </w:r>
                </w:p>
              </w:tc>
              <w:tc>
                <w:tcPr>
                  <w:tcW w:w="270" w:type="pct"/>
                  <w:vAlign w:val="center"/>
                </w:tcPr>
                <w:p>
                  <w:pPr>
                    <w:pStyle w:val="56"/>
                  </w:pPr>
                  <w:r>
                    <w:rPr>
                      <w:rFonts w:hint="eastAsia"/>
                    </w:rPr>
                    <w:t>0.00</w:t>
                  </w:r>
                  <w:r>
                    <w:t>432</w:t>
                  </w:r>
                </w:p>
              </w:tc>
              <w:tc>
                <w:tcPr>
                  <w:tcW w:w="327" w:type="pct"/>
                  <w:vAlign w:val="center"/>
                </w:tcPr>
                <w:p>
                  <w:pPr>
                    <w:pStyle w:val="56"/>
                    <w:rPr>
                      <w:lang w:eastAsia="zh-CN"/>
                    </w:rPr>
                  </w:pPr>
                  <w:r>
                    <w:rPr>
                      <w:rFonts w:hint="eastAsia"/>
                      <w:lang w:eastAsia="zh-CN"/>
                    </w:rPr>
                    <w:t>/</w:t>
                  </w:r>
                </w:p>
              </w:tc>
              <w:tc>
                <w:tcPr>
                  <w:tcW w:w="361" w:type="pct"/>
                  <w:vAlign w:val="center"/>
                </w:tcPr>
                <w:p>
                  <w:pPr>
                    <w:pStyle w:val="56"/>
                    <w:rPr>
                      <w:lang w:eastAsia="zh-CN"/>
                    </w:rPr>
                  </w:pPr>
                  <w:r>
                    <w:rPr>
                      <w:rFonts w:hint="eastAsia"/>
                      <w:lang w:eastAsia="zh-CN"/>
                    </w:rPr>
                    <w:t>1</w:t>
                  </w:r>
                  <w:r>
                    <w:rPr>
                      <w:lang w:eastAsia="zh-CN"/>
                    </w:rPr>
                    <w:t>.48</w:t>
                  </w:r>
                  <w:r>
                    <w:rPr>
                      <w:rFonts w:hint="eastAsia"/>
                      <w:lang w:eastAsia="zh-CN"/>
                    </w:rPr>
                    <w:t>×</w:t>
                  </w:r>
                  <w:r>
                    <w:rPr>
                      <w:lang w:eastAsia="zh-CN"/>
                    </w:rPr>
                    <w:t>10</w:t>
                  </w:r>
                  <w:r>
                    <w:rPr>
                      <w:vertAlign w:val="superscript"/>
                      <w:lang w:eastAsia="zh-CN"/>
                    </w:rPr>
                    <w:t>-6</w:t>
                  </w:r>
                </w:p>
              </w:tc>
              <w:tc>
                <w:tcPr>
                  <w:tcW w:w="265" w:type="pct"/>
                  <w:vAlign w:val="center"/>
                </w:tcPr>
                <w:p>
                  <w:pPr>
                    <w:pStyle w:val="56"/>
                    <w:rPr>
                      <w:lang w:eastAsia="zh-CN"/>
                    </w:rPr>
                  </w:pPr>
                  <w:r>
                    <w:rPr>
                      <w:rFonts w:hint="eastAsia"/>
                      <w:lang w:eastAsia="zh-CN"/>
                    </w:rPr>
                    <w:t>2</w:t>
                  </w:r>
                  <w:r>
                    <w:rPr>
                      <w:lang w:eastAsia="zh-CN"/>
                    </w:rPr>
                    <w:t>920</w:t>
                  </w:r>
                </w:p>
              </w:tc>
            </w:tr>
          </w:tbl>
          <w:p>
            <w:pPr>
              <w:ind w:firstLine="480"/>
            </w:pPr>
          </w:p>
        </w:tc>
      </w:tr>
    </w:tbl>
    <w:p>
      <w:pPr>
        <w:ind w:firstLine="480"/>
        <w:rPr>
          <w:lang w:eastAsia="zh-CN"/>
        </w:rPr>
      </w:pPr>
    </w:p>
    <w:p>
      <w:pPr>
        <w:ind w:firstLine="480"/>
        <w:rPr>
          <w:lang w:eastAsia="zh-CN"/>
        </w:rPr>
        <w:sectPr>
          <w:pgSz w:w="16838" w:h="11906" w:orient="landscape"/>
          <w:pgMar w:top="720" w:right="720" w:bottom="720" w:left="720" w:header="851" w:footer="992" w:gutter="0"/>
          <w:cols w:space="720" w:num="1"/>
          <w:docGrid w:type="lines" w:linePitch="326" w:charSpace="0"/>
        </w:sectPr>
      </w:pPr>
    </w:p>
    <w:tbl>
      <w:tblPr>
        <w:tblStyle w:val="3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7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7" w:hRule="atLeast"/>
          <w:jc w:val="center"/>
        </w:trPr>
        <w:tc>
          <w:tcPr>
            <w:tcW w:w="1232" w:type="dxa"/>
            <w:vAlign w:val="center"/>
          </w:tcPr>
          <w:p>
            <w:pPr>
              <w:spacing w:line="240" w:lineRule="auto"/>
              <w:ind w:firstLine="0" w:firstLineChars="0"/>
              <w:jc w:val="center"/>
            </w:pPr>
            <w:r>
              <w:t>运营期环境影响和保护措施</w:t>
            </w:r>
          </w:p>
        </w:tc>
        <w:tc>
          <w:tcPr>
            <w:tcW w:w="7638" w:type="dxa"/>
          </w:tcPr>
          <w:p>
            <w:pPr>
              <w:pStyle w:val="5"/>
              <w:rPr>
                <w:lang w:eastAsia="zh-CN"/>
              </w:rPr>
            </w:pPr>
            <w:r>
              <w:rPr>
                <w:rFonts w:hint="eastAsia"/>
                <w:lang w:eastAsia="zh-CN"/>
              </w:rPr>
              <w:t>防治措施可行性分析及达标分析</w:t>
            </w:r>
          </w:p>
          <w:p>
            <w:pPr>
              <w:ind w:firstLine="480"/>
              <w:rPr>
                <w:lang w:val="zh-CN"/>
              </w:rPr>
            </w:pPr>
            <w:r>
              <w:rPr>
                <w:rFonts w:hint="eastAsia"/>
                <w:lang w:val="zh-CN"/>
              </w:rPr>
              <w:t>（1）高效过滤系统处理措施技术可行性</w:t>
            </w:r>
          </w:p>
          <w:p>
            <w:pPr>
              <w:ind w:firstLine="480"/>
              <w:rPr>
                <w:lang w:val="zh-CN"/>
              </w:rPr>
            </w:pPr>
            <w:r>
              <w:rPr>
                <w:rFonts w:hint="eastAsia"/>
                <w:lang w:val="zh-CN"/>
              </w:rPr>
              <w:t>由于项目为医学检验室，实验室内空气有一定的洁净度要求，PCR实验室、NGS实验室中空气分别通过送风系统收集后通过空气过滤器过滤后排放至实验室内，本项目实验室送风系统设置初、中、高三级空气过滤器，第一级是初效过滤器滤料材质为优质聚酯合成纤维，对大于0.5tm大气尘的去除效率不低于50%，设置在新风口处；第二级是中效过滤器，滤料材质为聚丙烯超细熔喷纤维和涤纶混合材料，过滤效率不低于70%，设置在送风机组末端；第三级是高效过滤器，滤料材质为超细玻璃纤维滤纸，能够有效过滤粒径0.5µm的颗粒，过滤效率不低99.99%，设置在房间送风口处。</w:t>
            </w:r>
          </w:p>
          <w:p>
            <w:pPr>
              <w:ind w:firstLine="480"/>
              <w:rPr>
                <w:lang w:val="zh-CN"/>
              </w:rPr>
            </w:pPr>
            <w:r>
              <w:rPr>
                <w:rFonts w:hint="eastAsia"/>
                <w:lang w:val="zh-CN"/>
              </w:rPr>
              <w:t>PCR实验室、NGS实验室废气经天台的抽风机引至天台的废气处理设施（高效过滤）处理达标后通过</w:t>
            </w:r>
            <w:r>
              <w:rPr>
                <w:lang w:val="zh-CN"/>
              </w:rPr>
              <w:t>20</w:t>
            </w:r>
            <w:r>
              <w:rPr>
                <w:rFonts w:hint="eastAsia"/>
                <w:lang w:val="zh-CN"/>
              </w:rPr>
              <w:t>米烟囱排放。高效过滤器，滤料材质为超细玻璃纤维滤纸，能够有效过滤粒径0.5µm的颗粒，过滤效率不低99.99%，能有效去除实验室废气中的颗粒物及气溶胶。项目PCR实验室、NGS实验室共设置有9套废气收集处理排放设施，各实验室废气通过实验室中的集气设施收集后，分别经过对应的处理系统处理后达标排放。</w:t>
            </w:r>
          </w:p>
          <w:p>
            <w:pPr>
              <w:ind w:firstLine="480"/>
              <w:rPr>
                <w:lang w:val="zh-CN"/>
              </w:rPr>
            </w:pPr>
            <w:r>
              <w:rPr>
                <w:rFonts w:hint="eastAsia"/>
                <w:lang w:val="zh-CN"/>
              </w:rPr>
              <w:t>（2）生物安全柜可行性分析</w:t>
            </w:r>
          </w:p>
          <w:p>
            <w:pPr>
              <w:ind w:firstLine="480"/>
              <w:rPr>
                <w:lang w:val="zh-CN"/>
              </w:rPr>
            </w:pPr>
            <w:r>
              <w:rPr>
                <w:rFonts w:hint="eastAsia"/>
                <w:lang w:val="zh-CN"/>
              </w:rPr>
              <w:t>本项目凡是涉及病原微生物、可能产生病原微生物气溶胶或出现溅出的操作均在生物安全柜中进行，产生的废气由生物柜负压收集，生物安全柜安装有高效空气过滤器，根据《实验室生物安全通用要求》（GB19489-2008），本项目选用Ⅱ级生物安全柜，其高效空气过滤器的滤除效率不低于99.99%，废气中的病原微生物可被彻底除去。</w:t>
            </w:r>
          </w:p>
          <w:p>
            <w:pPr>
              <w:ind w:firstLine="480"/>
              <w:rPr>
                <w:lang w:val="zh-CN"/>
              </w:rPr>
            </w:pPr>
            <w:r>
              <w:rPr>
                <w:rFonts w:hint="eastAsia"/>
                <w:lang w:val="zh-CN"/>
              </w:rPr>
              <w:t>为保证室内负压差，实验室内送、排风机实现连锁控制，保证排风机先于送风机开启，迟于送风机关闭。实验室各房间均安装微压差传感器，并在各主要房间入口设置室内压差显示器，送、排风管的适当位置设置定风量阀和电动风阀，以控制各房间的送排风量。采用定风量送风和定风量排风，通过控制实验室不同区域送、排风风量，保持实验室各区域维持一定的压差，从而保证实验室内气流按照“辅助区→防护区→高效过滤器—高空排放”的方向流动。</w:t>
            </w:r>
          </w:p>
          <w:p>
            <w:pPr>
              <w:ind w:firstLine="480"/>
              <w:rPr>
                <w:lang w:val="zh-CN"/>
              </w:rPr>
            </w:pPr>
            <w:r>
              <w:rPr>
                <w:rFonts w:hint="eastAsia"/>
                <w:lang w:val="zh-CN"/>
              </w:rPr>
              <w:t>病毒依附在空气中尘粒上形成气溶胶，气溶胶的直径一般为0.5µm以上。生物安全柜及实验室排风系统过滤器均为高效过滤器，滤料材质为超细玻璃纤维滤纸，能够有效过滤粒径 0.5µm 的颗粒，过滤效率不低于99.99%，可保证排至外界气体中不含病原微生物。在实验结束后，对整个实验区进行密闭蒸汽消毒，对高效过滤器进行原位消毒，消毒蒸气随之进入排风管道，对排风管道进行消毒，确保排风管遣中不残留病原微生物。</w:t>
            </w:r>
          </w:p>
          <w:p>
            <w:pPr>
              <w:ind w:firstLine="480"/>
              <w:rPr>
                <w:lang w:val="zh-CN"/>
              </w:rPr>
            </w:pPr>
            <w:r>
              <w:rPr>
                <w:rFonts w:hint="eastAsia"/>
                <w:lang w:val="zh-CN"/>
              </w:rPr>
              <w:t>本项目产生的含病原微生物的气溶胶通过采取上述措施后，病原微生物的排放要求为不得检出，可确保不会排放至外界大气环境。</w:t>
            </w:r>
          </w:p>
          <w:p>
            <w:pPr>
              <w:ind w:firstLine="480"/>
              <w:rPr>
                <w:lang w:val="zh-CN"/>
              </w:rPr>
            </w:pPr>
            <w:r>
              <w:rPr>
                <w:rFonts w:hint="eastAsia"/>
                <w:lang w:val="zh-CN"/>
              </w:rPr>
              <w:t>（3）活性炭可行性分析</w:t>
            </w:r>
          </w:p>
          <w:p>
            <w:pPr>
              <w:ind w:firstLine="480"/>
              <w:rPr>
                <w:lang w:val="zh-CN"/>
              </w:rPr>
            </w:pPr>
            <w:r>
              <w:rPr>
                <w:rFonts w:hint="eastAsia"/>
                <w:lang w:val="zh-CN"/>
              </w:rPr>
              <w:t>本项目病理实验室、尿粪分析室、微生物处理室产生的废气通过</w:t>
            </w:r>
            <w:r>
              <w:rPr>
                <w:lang w:val="zh-CN"/>
              </w:rPr>
              <w:t>2</w:t>
            </w:r>
            <w:r>
              <w:rPr>
                <w:rFonts w:hint="eastAsia"/>
                <w:lang w:val="zh-CN"/>
              </w:rPr>
              <w:t>套排风系统收集后通过活性炭处理达标后排放。在实验室负压环境下，实验室有机废气通过实验室排风系统高效过滤器进入实验室排风管道引至天台活性炭吸附装置处理达标后经20m排气筒排放。根据文献资料《有机废气治理技术的研究进展》（易灵，四川环境，2011.10，第30卷第5期），目前国内外治理有机废气比较普遍的方法有吸附法、吸收法、氧化法、生物处理法等。</w:t>
            </w:r>
          </w:p>
          <w:p>
            <w:pPr>
              <w:ind w:firstLine="480"/>
              <w:rPr>
                <w:lang w:val="zh-CN"/>
              </w:rPr>
            </w:pPr>
            <w:r>
              <w:rPr>
                <w:rFonts w:hint="eastAsia"/>
                <w:lang w:val="zh-CN"/>
              </w:rPr>
              <w:t>使用吸附法净化治理有机废气是一种成熟的治理技术，通常的吸附剂有活性炭、沸石等种类。活性炭是应用最早、用途最广的一种优良吸附剂，对各种有机气体等具有较大的吸附量和较快的吸附效率，项目采用的吸附剂为活性炭，活性炭吸附装置中的活性炭装填方式采用框架多层结构，由于本项目产生的有机废气量较少，活性炭吸附具有吸附效率高、能力强、设备构造紧凑，只需定期更替活性炭，即可满足处理的要求。</w:t>
            </w:r>
          </w:p>
          <w:p>
            <w:pPr>
              <w:ind w:firstLine="480"/>
              <w:rPr>
                <w:lang w:val="zh-CN"/>
              </w:rPr>
            </w:pPr>
            <w:r>
              <w:rPr>
                <w:rFonts w:hint="eastAsia"/>
                <w:lang w:val="zh-CN"/>
              </w:rPr>
              <w:t>设备特点：</w:t>
            </w:r>
          </w:p>
          <w:p>
            <w:pPr>
              <w:ind w:firstLine="480"/>
              <w:rPr>
                <w:lang w:val="zh-CN"/>
              </w:rPr>
            </w:pPr>
            <w:r>
              <w:rPr>
                <w:rFonts w:hint="eastAsia"/>
                <w:lang w:val="zh-CN"/>
              </w:rPr>
              <w:t>a、适用于常温低浓度的有机废气的净化，设备投资低。</w:t>
            </w:r>
          </w:p>
          <w:p>
            <w:pPr>
              <w:ind w:firstLine="480"/>
              <w:rPr>
                <w:lang w:val="zh-CN"/>
              </w:rPr>
            </w:pPr>
            <w:r>
              <w:rPr>
                <w:rFonts w:hint="eastAsia"/>
                <w:lang w:val="zh-CN"/>
              </w:rPr>
              <w:t>b、设备结构简单、占地面积小。</w:t>
            </w:r>
          </w:p>
          <w:p>
            <w:pPr>
              <w:ind w:firstLine="480"/>
              <w:rPr>
                <w:lang w:val="zh-CN"/>
              </w:rPr>
            </w:pPr>
            <w:r>
              <w:rPr>
                <w:rFonts w:hint="eastAsia"/>
                <w:lang w:val="zh-CN"/>
              </w:rPr>
              <w:t>c、整套装置无运动部件，维护简单，故障率低、留有前侧门，更换过滤材料简单方便。</w:t>
            </w:r>
          </w:p>
          <w:p>
            <w:pPr>
              <w:ind w:firstLine="480"/>
              <w:rPr>
                <w:lang w:val="zh-CN"/>
              </w:rPr>
            </w:pPr>
            <w:r>
              <w:rPr>
                <w:rFonts w:hint="eastAsia"/>
                <w:lang w:val="zh-CN"/>
              </w:rPr>
              <w:t>活性炭吸附具吸附效率高、能力强，设备构造紧凑，只需定期更替活性炭，即可满足处理的要求，“活性炭吸附技术”为可行技术。</w:t>
            </w:r>
          </w:p>
          <w:p>
            <w:pPr>
              <w:ind w:firstLine="480"/>
              <w:rPr>
                <w:lang w:val="zh-CN"/>
              </w:rPr>
            </w:pPr>
            <w:r>
              <w:rPr>
                <w:rFonts w:hint="eastAsia"/>
                <w:lang w:val="zh-CN"/>
              </w:rPr>
              <w:t>（4）本项目废气经不锈钢满焊排风管排放至实验室所在建筑楼顶，不锈钢满焊即为将结合处密封，具有较强的牢固性及密封性，可承受较大的压力，可有效防止废气的泄漏。</w:t>
            </w:r>
          </w:p>
          <w:p>
            <w:pPr>
              <w:ind w:firstLine="480"/>
              <w:rPr>
                <w:lang w:val="zh-CN"/>
              </w:rPr>
            </w:pPr>
            <w:r>
              <w:rPr>
                <w:rFonts w:hint="eastAsia"/>
                <w:lang w:val="zh-CN"/>
              </w:rPr>
              <w:t>综上所述，本项目废气治理设施均具有可行性。</w:t>
            </w:r>
          </w:p>
          <w:p>
            <w:pPr>
              <w:pStyle w:val="55"/>
            </w:pP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11</w:t>
            </w:r>
            <w:r>
              <w:fldChar w:fldCharType="end"/>
            </w:r>
            <w:r>
              <w:rPr>
                <w:rFonts w:hint="eastAsia"/>
              </w:rPr>
              <w:t>项目废气排放口一览表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700"/>
              <w:gridCol w:w="709"/>
              <w:gridCol w:w="710"/>
              <w:gridCol w:w="849"/>
              <w:gridCol w:w="709"/>
              <w:gridCol w:w="851"/>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9" w:hRule="atLeast"/>
              </w:trPr>
              <w:tc>
                <w:tcPr>
                  <w:tcW w:w="615" w:type="pct"/>
                  <w:vAlign w:val="center"/>
                </w:tcPr>
                <w:p>
                  <w:pPr>
                    <w:pStyle w:val="56"/>
                  </w:pPr>
                  <w:r>
                    <w:rPr>
                      <w:rFonts w:hint="eastAsia"/>
                      <w:lang w:eastAsia="zh-CN"/>
                    </w:rPr>
                    <w:t>排放口编号及名称</w:t>
                  </w:r>
                </w:p>
              </w:tc>
              <w:tc>
                <w:tcPr>
                  <w:tcW w:w="1147" w:type="pct"/>
                  <w:vAlign w:val="center"/>
                </w:tcPr>
                <w:p>
                  <w:pPr>
                    <w:pStyle w:val="56"/>
                  </w:pPr>
                  <w:r>
                    <w:rPr>
                      <w:rFonts w:hint="eastAsia"/>
                      <w:lang w:eastAsia="zh-CN"/>
                    </w:rPr>
                    <w:t>废气类型</w:t>
                  </w:r>
                </w:p>
              </w:tc>
              <w:tc>
                <w:tcPr>
                  <w:tcW w:w="478" w:type="pct"/>
                  <w:vAlign w:val="center"/>
                </w:tcPr>
                <w:p>
                  <w:pPr>
                    <w:pStyle w:val="56"/>
                    <w:rPr>
                      <w:lang w:eastAsia="zh-CN"/>
                    </w:rPr>
                  </w:pPr>
                  <w:r>
                    <w:rPr>
                      <w:rFonts w:hint="eastAsia"/>
                      <w:lang w:eastAsia="zh-CN"/>
                    </w:rPr>
                    <w:t>污染物种类</w:t>
                  </w:r>
                </w:p>
              </w:tc>
              <w:tc>
                <w:tcPr>
                  <w:tcW w:w="479" w:type="pct"/>
                  <w:vAlign w:val="center"/>
                </w:tcPr>
                <w:p>
                  <w:pPr>
                    <w:pStyle w:val="56"/>
                  </w:pPr>
                  <w:r>
                    <w:rPr>
                      <w:rFonts w:hint="eastAsia"/>
                      <w:lang w:eastAsia="zh-CN"/>
                    </w:rPr>
                    <w:t>治理措施</w:t>
                  </w:r>
                </w:p>
              </w:tc>
              <w:tc>
                <w:tcPr>
                  <w:tcW w:w="573" w:type="pct"/>
                  <w:vAlign w:val="center"/>
                </w:tcPr>
                <w:p>
                  <w:pPr>
                    <w:pStyle w:val="56"/>
                  </w:pPr>
                  <w:r>
                    <w:rPr>
                      <w:rFonts w:hint="eastAsia"/>
                      <w:lang w:eastAsia="zh-CN"/>
                    </w:rPr>
                    <w:t>是否为可行技术</w:t>
                  </w:r>
                </w:p>
              </w:tc>
              <w:tc>
                <w:tcPr>
                  <w:tcW w:w="478" w:type="pct"/>
                  <w:vAlign w:val="center"/>
                </w:tcPr>
                <w:p>
                  <w:pPr>
                    <w:pStyle w:val="56"/>
                  </w:pPr>
                  <w:r>
                    <w:rPr>
                      <w:rFonts w:hint="eastAsia"/>
                      <w:lang w:eastAsia="zh-CN"/>
                    </w:rPr>
                    <w:t>排气量m</w:t>
                  </w:r>
                  <w:r>
                    <w:rPr>
                      <w:rFonts w:hint="eastAsia"/>
                      <w:vertAlign w:val="superscript"/>
                      <w:lang w:eastAsia="zh-CN"/>
                    </w:rPr>
                    <w:t>3</w:t>
                  </w:r>
                  <w:r>
                    <w:rPr>
                      <w:rFonts w:hint="eastAsia"/>
                      <w:lang w:eastAsia="zh-CN"/>
                    </w:rPr>
                    <w:t>/h</w:t>
                  </w:r>
                </w:p>
              </w:tc>
              <w:tc>
                <w:tcPr>
                  <w:tcW w:w="574" w:type="pct"/>
                  <w:vAlign w:val="center"/>
                </w:tcPr>
                <w:p>
                  <w:pPr>
                    <w:pStyle w:val="56"/>
                  </w:pPr>
                  <w:r>
                    <w:rPr>
                      <w:rFonts w:hint="eastAsia"/>
                      <w:lang w:eastAsia="zh-CN"/>
                    </w:rPr>
                    <w:t>排气筒高度（m）</w:t>
                  </w:r>
                </w:p>
              </w:tc>
              <w:tc>
                <w:tcPr>
                  <w:tcW w:w="656" w:type="pct"/>
                  <w:vAlign w:val="center"/>
                </w:tcPr>
                <w:p>
                  <w:pPr>
                    <w:pStyle w:val="56"/>
                    <w:rPr>
                      <w:lang w:eastAsia="zh-CN"/>
                    </w:rPr>
                  </w:pPr>
                  <w:r>
                    <w:rPr>
                      <w:rFonts w:hint="eastAsia"/>
                      <w:lang w:eastAsia="zh-CN"/>
                    </w:rPr>
                    <w:t>排气筒内径（mm）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001</w:t>
                  </w:r>
                </w:p>
              </w:tc>
              <w:tc>
                <w:tcPr>
                  <w:tcW w:w="1147" w:type="pct"/>
                  <w:vAlign w:val="center"/>
                </w:tcPr>
                <w:p>
                  <w:pPr>
                    <w:pStyle w:val="56"/>
                  </w:pPr>
                  <w:r>
                    <w:rPr>
                      <w:rFonts w:hint="eastAsia"/>
                    </w:rPr>
                    <w:t>PCR实验室1</w:t>
                  </w:r>
                  <w:r>
                    <w:rPr>
                      <w:rFonts w:hint="eastAsia"/>
                      <w:lang w:eastAsia="zh-CN"/>
                    </w:rPr>
                    <w:t>废气</w:t>
                  </w:r>
                </w:p>
              </w:tc>
              <w:tc>
                <w:tcPr>
                  <w:tcW w:w="478" w:type="pct"/>
                  <w:vMerge w:val="restart"/>
                  <w:vAlign w:val="center"/>
                </w:tcPr>
                <w:p>
                  <w:pPr>
                    <w:pStyle w:val="56"/>
                  </w:pPr>
                  <w:r>
                    <w:rPr>
                      <w:rFonts w:hint="eastAsia"/>
                      <w:lang w:eastAsia="zh-CN"/>
                    </w:rPr>
                    <w:t>VOCs</w:t>
                  </w:r>
                </w:p>
              </w:tc>
              <w:tc>
                <w:tcPr>
                  <w:tcW w:w="479" w:type="pct"/>
                  <w:vMerge w:val="restart"/>
                  <w:vAlign w:val="center"/>
                </w:tcPr>
                <w:p>
                  <w:pPr>
                    <w:pStyle w:val="56"/>
                  </w:pPr>
                  <w:r>
                    <w:rPr>
                      <w:rFonts w:hint="eastAsia"/>
                      <w:lang w:eastAsia="zh-CN"/>
                    </w:rPr>
                    <w:t>高效过滤</w:t>
                  </w:r>
                </w:p>
              </w:tc>
              <w:tc>
                <w:tcPr>
                  <w:tcW w:w="573" w:type="pct"/>
                  <w:vAlign w:val="center"/>
                </w:tcPr>
                <w:p>
                  <w:pPr>
                    <w:pStyle w:val="56"/>
                    <w:rPr>
                      <w:lang w:eastAsia="zh-CN"/>
                    </w:rPr>
                  </w:pPr>
                  <w:r>
                    <w:rPr>
                      <w:rFonts w:hint="eastAsia"/>
                      <w:lang w:eastAsia="zh-CN"/>
                    </w:rPr>
                    <w:t>/</w:t>
                  </w:r>
                </w:p>
              </w:tc>
              <w:tc>
                <w:tcPr>
                  <w:tcW w:w="478" w:type="pct"/>
                  <w:vAlign w:val="center"/>
                </w:tcPr>
                <w:p>
                  <w:pPr>
                    <w:pStyle w:val="56"/>
                  </w:pPr>
                  <w:r>
                    <w:rPr>
                      <w:rFonts w:hint="eastAsia"/>
                    </w:rPr>
                    <w:t>5000</w:t>
                  </w:r>
                </w:p>
              </w:tc>
              <w:tc>
                <w:tcPr>
                  <w:tcW w:w="574" w:type="pct"/>
                  <w:vAlign w:val="center"/>
                </w:tcPr>
                <w:p>
                  <w:pPr>
                    <w:pStyle w:val="56"/>
                    <w:rPr>
                      <w:lang w:eastAsia="zh-CN"/>
                    </w:rPr>
                  </w:pPr>
                  <w:r>
                    <w:rPr>
                      <w:rFonts w:hint="eastAsia"/>
                      <w:lang w:eastAsia="zh-CN"/>
                    </w:rPr>
                    <w:t>2</w:t>
                  </w:r>
                  <w:r>
                    <w:rPr>
                      <w:lang w:eastAsia="zh-CN"/>
                    </w:rPr>
                    <w:t>0</w:t>
                  </w:r>
                </w:p>
              </w:tc>
              <w:tc>
                <w:tcPr>
                  <w:tcW w:w="656" w:type="pct"/>
                  <w:vAlign w:val="center"/>
                </w:tcPr>
                <w:p>
                  <w:pPr>
                    <w:pStyle w:val="56"/>
                  </w:pPr>
                  <w:r>
                    <w:rPr>
                      <w:rFonts w:hint="eastAsia"/>
                    </w:rPr>
                    <w:t>500*320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002</w:t>
                  </w:r>
                </w:p>
              </w:tc>
              <w:tc>
                <w:tcPr>
                  <w:tcW w:w="1147" w:type="pct"/>
                  <w:vAlign w:val="center"/>
                </w:tcPr>
                <w:p>
                  <w:pPr>
                    <w:pStyle w:val="56"/>
                  </w:pPr>
                  <w:r>
                    <w:rPr>
                      <w:rFonts w:hint="eastAsia"/>
                    </w:rPr>
                    <w:t>PCR实验室1试剂准备室</w:t>
                  </w:r>
                  <w:r>
                    <w:rPr>
                      <w:rFonts w:hint="eastAsia"/>
                      <w:lang w:eastAsia="zh-CN"/>
                    </w:rPr>
                    <w:t>废气</w:t>
                  </w:r>
                </w:p>
              </w:tc>
              <w:tc>
                <w:tcPr>
                  <w:tcW w:w="478" w:type="pct"/>
                  <w:vMerge w:val="continue"/>
                  <w:vAlign w:val="center"/>
                </w:tcPr>
                <w:p>
                  <w:pPr>
                    <w:pStyle w:val="56"/>
                  </w:pPr>
                </w:p>
              </w:tc>
              <w:tc>
                <w:tcPr>
                  <w:tcW w:w="479" w:type="pct"/>
                  <w:vMerge w:val="continue"/>
                  <w:vAlign w:val="center"/>
                </w:tcPr>
                <w:p>
                  <w:pPr>
                    <w:pStyle w:val="56"/>
                  </w:pPr>
                </w:p>
              </w:tc>
              <w:tc>
                <w:tcPr>
                  <w:tcW w:w="573" w:type="pct"/>
                  <w:vAlign w:val="center"/>
                </w:tcPr>
                <w:p>
                  <w:pPr>
                    <w:pStyle w:val="56"/>
                    <w:rPr>
                      <w:lang w:eastAsia="zh-CN"/>
                    </w:rPr>
                  </w:pPr>
                  <w:r>
                    <w:rPr>
                      <w:rFonts w:hint="eastAsia"/>
                      <w:lang w:eastAsia="zh-CN"/>
                    </w:rPr>
                    <w:t>/</w:t>
                  </w:r>
                </w:p>
              </w:tc>
              <w:tc>
                <w:tcPr>
                  <w:tcW w:w="478" w:type="pct"/>
                  <w:vAlign w:val="center"/>
                </w:tcPr>
                <w:p>
                  <w:pPr>
                    <w:pStyle w:val="56"/>
                  </w:pPr>
                  <w:r>
                    <w:rPr>
                      <w:rFonts w:hint="eastAsia"/>
                    </w:rPr>
                    <w:t>1500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320*200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003</w:t>
                  </w:r>
                </w:p>
              </w:tc>
              <w:tc>
                <w:tcPr>
                  <w:tcW w:w="1147" w:type="pct"/>
                  <w:vAlign w:val="center"/>
                </w:tcPr>
                <w:p>
                  <w:pPr>
                    <w:pStyle w:val="56"/>
                  </w:pPr>
                  <w:r>
                    <w:rPr>
                      <w:rFonts w:hint="eastAsia"/>
                    </w:rPr>
                    <w:t>PCR实验室2样本制备室</w:t>
                  </w:r>
                  <w:r>
                    <w:rPr>
                      <w:rFonts w:hint="eastAsia"/>
                      <w:lang w:eastAsia="zh-CN"/>
                    </w:rPr>
                    <w:t>废气</w:t>
                  </w:r>
                </w:p>
              </w:tc>
              <w:tc>
                <w:tcPr>
                  <w:tcW w:w="478" w:type="pct"/>
                  <w:vMerge w:val="continue"/>
                  <w:vAlign w:val="center"/>
                </w:tcPr>
                <w:p>
                  <w:pPr>
                    <w:pStyle w:val="56"/>
                  </w:pPr>
                </w:p>
              </w:tc>
              <w:tc>
                <w:tcPr>
                  <w:tcW w:w="479" w:type="pct"/>
                  <w:vMerge w:val="continue"/>
                  <w:vAlign w:val="center"/>
                </w:tcPr>
                <w:p>
                  <w:pPr>
                    <w:pStyle w:val="56"/>
                  </w:pPr>
                </w:p>
              </w:tc>
              <w:tc>
                <w:tcPr>
                  <w:tcW w:w="573" w:type="pct"/>
                  <w:vAlign w:val="center"/>
                </w:tcPr>
                <w:p>
                  <w:pPr>
                    <w:pStyle w:val="56"/>
                    <w:rPr>
                      <w:lang w:eastAsia="zh-CN"/>
                    </w:rPr>
                  </w:pPr>
                  <w:r>
                    <w:rPr>
                      <w:rFonts w:hint="eastAsia"/>
                      <w:lang w:eastAsia="zh-CN"/>
                    </w:rPr>
                    <w:t>/</w:t>
                  </w:r>
                </w:p>
              </w:tc>
              <w:tc>
                <w:tcPr>
                  <w:tcW w:w="478" w:type="pct"/>
                  <w:vAlign w:val="center"/>
                </w:tcPr>
                <w:p>
                  <w:pPr>
                    <w:pStyle w:val="56"/>
                  </w:pPr>
                  <w:r>
                    <w:rPr>
                      <w:rFonts w:hint="eastAsia"/>
                    </w:rPr>
                    <w:t>7800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800*400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004</w:t>
                  </w:r>
                </w:p>
              </w:tc>
              <w:tc>
                <w:tcPr>
                  <w:tcW w:w="1147" w:type="pct"/>
                  <w:vAlign w:val="center"/>
                </w:tcPr>
                <w:p>
                  <w:pPr>
                    <w:pStyle w:val="56"/>
                  </w:pPr>
                  <w:r>
                    <w:rPr>
                      <w:rFonts w:hint="eastAsia"/>
                    </w:rPr>
                    <w:t>PCR实验室2扩增及分析室</w:t>
                  </w:r>
                  <w:r>
                    <w:rPr>
                      <w:rFonts w:hint="eastAsia"/>
                      <w:lang w:eastAsia="zh-CN"/>
                    </w:rPr>
                    <w:t>废气</w:t>
                  </w:r>
                </w:p>
              </w:tc>
              <w:tc>
                <w:tcPr>
                  <w:tcW w:w="478" w:type="pct"/>
                  <w:vMerge w:val="continue"/>
                  <w:vAlign w:val="center"/>
                </w:tcPr>
                <w:p>
                  <w:pPr>
                    <w:pStyle w:val="56"/>
                  </w:pPr>
                </w:p>
              </w:tc>
              <w:tc>
                <w:tcPr>
                  <w:tcW w:w="479" w:type="pct"/>
                  <w:vMerge w:val="continue"/>
                  <w:vAlign w:val="center"/>
                </w:tcPr>
                <w:p>
                  <w:pPr>
                    <w:pStyle w:val="56"/>
                  </w:pPr>
                </w:p>
              </w:tc>
              <w:tc>
                <w:tcPr>
                  <w:tcW w:w="573" w:type="pct"/>
                  <w:vAlign w:val="center"/>
                </w:tcPr>
                <w:p>
                  <w:pPr>
                    <w:pStyle w:val="56"/>
                    <w:rPr>
                      <w:lang w:eastAsia="zh-CN"/>
                    </w:rPr>
                  </w:pPr>
                  <w:r>
                    <w:rPr>
                      <w:rFonts w:hint="eastAsia"/>
                      <w:lang w:eastAsia="zh-CN"/>
                    </w:rPr>
                    <w:t>/</w:t>
                  </w:r>
                </w:p>
              </w:tc>
              <w:tc>
                <w:tcPr>
                  <w:tcW w:w="478" w:type="pct"/>
                  <w:vAlign w:val="center"/>
                </w:tcPr>
                <w:p>
                  <w:pPr>
                    <w:pStyle w:val="56"/>
                  </w:pPr>
                  <w:r>
                    <w:rPr>
                      <w:rFonts w:hint="eastAsia"/>
                    </w:rPr>
                    <w:t>4000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400*320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005</w:t>
                  </w:r>
                </w:p>
              </w:tc>
              <w:tc>
                <w:tcPr>
                  <w:tcW w:w="1147" w:type="pct"/>
                  <w:vAlign w:val="center"/>
                </w:tcPr>
                <w:p>
                  <w:pPr>
                    <w:pStyle w:val="56"/>
                  </w:pPr>
                  <w:r>
                    <w:rPr>
                      <w:rFonts w:hint="eastAsia"/>
                    </w:rPr>
                    <w:t>PCR实验室3试剂准备室</w:t>
                  </w:r>
                  <w:r>
                    <w:rPr>
                      <w:rFonts w:hint="eastAsia"/>
                      <w:lang w:eastAsia="zh-CN"/>
                    </w:rPr>
                    <w:t>废气</w:t>
                  </w:r>
                </w:p>
              </w:tc>
              <w:tc>
                <w:tcPr>
                  <w:tcW w:w="478" w:type="pct"/>
                  <w:vMerge w:val="continue"/>
                  <w:vAlign w:val="center"/>
                </w:tcPr>
                <w:p>
                  <w:pPr>
                    <w:pStyle w:val="56"/>
                  </w:pPr>
                </w:p>
              </w:tc>
              <w:tc>
                <w:tcPr>
                  <w:tcW w:w="479" w:type="pct"/>
                  <w:vMerge w:val="continue"/>
                  <w:vAlign w:val="center"/>
                </w:tcPr>
                <w:p>
                  <w:pPr>
                    <w:pStyle w:val="56"/>
                  </w:pPr>
                </w:p>
              </w:tc>
              <w:tc>
                <w:tcPr>
                  <w:tcW w:w="573" w:type="pct"/>
                  <w:vAlign w:val="center"/>
                </w:tcPr>
                <w:p>
                  <w:pPr>
                    <w:pStyle w:val="56"/>
                    <w:rPr>
                      <w:lang w:eastAsia="zh-CN"/>
                    </w:rPr>
                  </w:pPr>
                  <w:r>
                    <w:rPr>
                      <w:rFonts w:hint="eastAsia"/>
                      <w:lang w:eastAsia="zh-CN"/>
                    </w:rPr>
                    <w:t>/</w:t>
                  </w:r>
                </w:p>
              </w:tc>
              <w:tc>
                <w:tcPr>
                  <w:tcW w:w="478" w:type="pct"/>
                  <w:vAlign w:val="center"/>
                </w:tcPr>
                <w:p>
                  <w:pPr>
                    <w:pStyle w:val="56"/>
                  </w:pPr>
                  <w:r>
                    <w:rPr>
                      <w:rFonts w:hint="eastAsia"/>
                    </w:rPr>
                    <w:t>1500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320*200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006</w:t>
                  </w:r>
                </w:p>
              </w:tc>
              <w:tc>
                <w:tcPr>
                  <w:tcW w:w="1147" w:type="pct"/>
                  <w:vAlign w:val="center"/>
                </w:tcPr>
                <w:p>
                  <w:pPr>
                    <w:pStyle w:val="56"/>
                  </w:pPr>
                  <w:r>
                    <w:rPr>
                      <w:rFonts w:hint="eastAsia"/>
                    </w:rPr>
                    <w:t>PCR实验室3样本制备室</w:t>
                  </w:r>
                  <w:r>
                    <w:rPr>
                      <w:rFonts w:hint="eastAsia"/>
                      <w:lang w:eastAsia="zh-CN"/>
                    </w:rPr>
                    <w:t>废气</w:t>
                  </w:r>
                </w:p>
              </w:tc>
              <w:tc>
                <w:tcPr>
                  <w:tcW w:w="478" w:type="pct"/>
                  <w:vMerge w:val="continue"/>
                  <w:vAlign w:val="center"/>
                </w:tcPr>
                <w:p>
                  <w:pPr>
                    <w:pStyle w:val="56"/>
                  </w:pPr>
                </w:p>
              </w:tc>
              <w:tc>
                <w:tcPr>
                  <w:tcW w:w="479" w:type="pct"/>
                  <w:vMerge w:val="continue"/>
                  <w:vAlign w:val="center"/>
                </w:tcPr>
                <w:p>
                  <w:pPr>
                    <w:pStyle w:val="56"/>
                  </w:pPr>
                </w:p>
              </w:tc>
              <w:tc>
                <w:tcPr>
                  <w:tcW w:w="573" w:type="pct"/>
                  <w:vAlign w:val="center"/>
                </w:tcPr>
                <w:p>
                  <w:pPr>
                    <w:pStyle w:val="56"/>
                    <w:rPr>
                      <w:lang w:eastAsia="zh-CN"/>
                    </w:rPr>
                  </w:pPr>
                  <w:r>
                    <w:rPr>
                      <w:rFonts w:hint="eastAsia"/>
                      <w:lang w:eastAsia="zh-CN"/>
                    </w:rPr>
                    <w:t>/</w:t>
                  </w:r>
                </w:p>
              </w:tc>
              <w:tc>
                <w:tcPr>
                  <w:tcW w:w="478" w:type="pct"/>
                  <w:vAlign w:val="center"/>
                </w:tcPr>
                <w:p>
                  <w:pPr>
                    <w:pStyle w:val="56"/>
                  </w:pPr>
                  <w:r>
                    <w:rPr>
                      <w:rFonts w:hint="eastAsia"/>
                    </w:rPr>
                    <w:t>14500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1000*500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007</w:t>
                  </w:r>
                </w:p>
              </w:tc>
              <w:tc>
                <w:tcPr>
                  <w:tcW w:w="1147" w:type="pct"/>
                  <w:vAlign w:val="center"/>
                </w:tcPr>
                <w:p>
                  <w:pPr>
                    <w:pStyle w:val="56"/>
                  </w:pPr>
                  <w:r>
                    <w:rPr>
                      <w:rFonts w:hint="eastAsia"/>
                    </w:rPr>
                    <w:t>PCR实验室3扩增及分析室</w:t>
                  </w:r>
                  <w:r>
                    <w:rPr>
                      <w:rFonts w:hint="eastAsia"/>
                      <w:lang w:eastAsia="zh-CN"/>
                    </w:rPr>
                    <w:t>废气</w:t>
                  </w:r>
                </w:p>
              </w:tc>
              <w:tc>
                <w:tcPr>
                  <w:tcW w:w="478" w:type="pct"/>
                  <w:vMerge w:val="continue"/>
                  <w:vAlign w:val="center"/>
                </w:tcPr>
                <w:p>
                  <w:pPr>
                    <w:pStyle w:val="56"/>
                  </w:pPr>
                </w:p>
              </w:tc>
              <w:tc>
                <w:tcPr>
                  <w:tcW w:w="479" w:type="pct"/>
                  <w:vMerge w:val="continue"/>
                  <w:vAlign w:val="center"/>
                </w:tcPr>
                <w:p>
                  <w:pPr>
                    <w:pStyle w:val="56"/>
                  </w:pPr>
                </w:p>
              </w:tc>
              <w:tc>
                <w:tcPr>
                  <w:tcW w:w="573" w:type="pct"/>
                  <w:vAlign w:val="center"/>
                </w:tcPr>
                <w:p>
                  <w:pPr>
                    <w:pStyle w:val="56"/>
                    <w:rPr>
                      <w:lang w:eastAsia="zh-CN"/>
                    </w:rPr>
                  </w:pPr>
                  <w:r>
                    <w:rPr>
                      <w:rFonts w:hint="eastAsia"/>
                      <w:lang w:eastAsia="zh-CN"/>
                    </w:rPr>
                    <w:t>/</w:t>
                  </w:r>
                </w:p>
              </w:tc>
              <w:tc>
                <w:tcPr>
                  <w:tcW w:w="478" w:type="pct"/>
                  <w:vAlign w:val="center"/>
                </w:tcPr>
                <w:p>
                  <w:pPr>
                    <w:pStyle w:val="56"/>
                  </w:pPr>
                  <w:r>
                    <w:rPr>
                      <w:rFonts w:hint="eastAsia"/>
                    </w:rPr>
                    <w:t>6000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630*320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008</w:t>
                  </w:r>
                </w:p>
              </w:tc>
              <w:tc>
                <w:tcPr>
                  <w:tcW w:w="1147" w:type="pct"/>
                  <w:vAlign w:val="center"/>
                </w:tcPr>
                <w:p>
                  <w:pPr>
                    <w:pStyle w:val="56"/>
                  </w:pPr>
                  <w:r>
                    <w:rPr>
                      <w:rFonts w:hint="eastAsia"/>
                    </w:rPr>
                    <w:t>PCR实验室走廊</w:t>
                  </w:r>
                  <w:r>
                    <w:rPr>
                      <w:rFonts w:hint="eastAsia"/>
                      <w:lang w:eastAsia="zh-CN"/>
                    </w:rPr>
                    <w:t>废气</w:t>
                  </w:r>
                </w:p>
              </w:tc>
              <w:tc>
                <w:tcPr>
                  <w:tcW w:w="478" w:type="pct"/>
                  <w:vMerge w:val="continue"/>
                  <w:vAlign w:val="center"/>
                </w:tcPr>
                <w:p>
                  <w:pPr>
                    <w:pStyle w:val="56"/>
                  </w:pPr>
                </w:p>
              </w:tc>
              <w:tc>
                <w:tcPr>
                  <w:tcW w:w="479" w:type="pct"/>
                  <w:vMerge w:val="continue"/>
                  <w:vAlign w:val="center"/>
                </w:tcPr>
                <w:p>
                  <w:pPr>
                    <w:pStyle w:val="56"/>
                  </w:pPr>
                </w:p>
              </w:tc>
              <w:tc>
                <w:tcPr>
                  <w:tcW w:w="573" w:type="pct"/>
                  <w:vAlign w:val="center"/>
                </w:tcPr>
                <w:p>
                  <w:pPr>
                    <w:pStyle w:val="56"/>
                    <w:rPr>
                      <w:lang w:eastAsia="zh-CN"/>
                    </w:rPr>
                  </w:pPr>
                  <w:r>
                    <w:rPr>
                      <w:rFonts w:hint="eastAsia"/>
                      <w:lang w:eastAsia="zh-CN"/>
                    </w:rPr>
                    <w:t>/</w:t>
                  </w:r>
                </w:p>
              </w:tc>
              <w:tc>
                <w:tcPr>
                  <w:tcW w:w="478" w:type="pct"/>
                  <w:vAlign w:val="center"/>
                </w:tcPr>
                <w:p>
                  <w:pPr>
                    <w:pStyle w:val="56"/>
                  </w:pPr>
                  <w:r>
                    <w:rPr>
                      <w:rFonts w:hint="eastAsia"/>
                    </w:rPr>
                    <w:t>1100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500*320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009</w:t>
                  </w:r>
                </w:p>
              </w:tc>
              <w:tc>
                <w:tcPr>
                  <w:tcW w:w="1147" w:type="pct"/>
                  <w:vAlign w:val="center"/>
                </w:tcPr>
                <w:p>
                  <w:pPr>
                    <w:pStyle w:val="56"/>
                  </w:pPr>
                  <w:r>
                    <w:rPr>
                      <w:rFonts w:hint="eastAsia"/>
                    </w:rPr>
                    <w:t>NGS实验室</w:t>
                  </w:r>
                  <w:r>
                    <w:rPr>
                      <w:rFonts w:hint="eastAsia"/>
                      <w:lang w:eastAsia="zh-CN"/>
                    </w:rPr>
                    <w:t>废气</w:t>
                  </w:r>
                </w:p>
              </w:tc>
              <w:tc>
                <w:tcPr>
                  <w:tcW w:w="478" w:type="pct"/>
                  <w:vMerge w:val="continue"/>
                  <w:vAlign w:val="center"/>
                </w:tcPr>
                <w:p>
                  <w:pPr>
                    <w:pStyle w:val="56"/>
                  </w:pPr>
                </w:p>
              </w:tc>
              <w:tc>
                <w:tcPr>
                  <w:tcW w:w="479" w:type="pct"/>
                  <w:vMerge w:val="continue"/>
                  <w:vAlign w:val="center"/>
                </w:tcPr>
                <w:p>
                  <w:pPr>
                    <w:pStyle w:val="56"/>
                  </w:pPr>
                </w:p>
              </w:tc>
              <w:tc>
                <w:tcPr>
                  <w:tcW w:w="573" w:type="pct"/>
                  <w:vAlign w:val="center"/>
                </w:tcPr>
                <w:p>
                  <w:pPr>
                    <w:pStyle w:val="56"/>
                    <w:rPr>
                      <w:lang w:eastAsia="zh-CN"/>
                    </w:rPr>
                  </w:pPr>
                  <w:r>
                    <w:rPr>
                      <w:rFonts w:hint="eastAsia"/>
                      <w:lang w:eastAsia="zh-CN"/>
                    </w:rPr>
                    <w:t>/</w:t>
                  </w:r>
                </w:p>
              </w:tc>
              <w:tc>
                <w:tcPr>
                  <w:tcW w:w="478" w:type="pct"/>
                  <w:vAlign w:val="center"/>
                </w:tcPr>
                <w:p>
                  <w:pPr>
                    <w:pStyle w:val="56"/>
                  </w:pPr>
                  <w:r>
                    <w:rPr>
                      <w:rFonts w:hint="eastAsia"/>
                    </w:rPr>
                    <w:t>13000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1250*500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010</w:t>
                  </w:r>
                </w:p>
              </w:tc>
              <w:tc>
                <w:tcPr>
                  <w:tcW w:w="1147" w:type="pct"/>
                  <w:vAlign w:val="center"/>
                </w:tcPr>
                <w:p>
                  <w:pPr>
                    <w:pStyle w:val="56"/>
                  </w:pPr>
                  <w:r>
                    <w:rPr>
                      <w:rFonts w:hint="eastAsia"/>
                    </w:rPr>
                    <w:t>微生物前处理室、结核菌</w:t>
                  </w:r>
                  <w:r>
                    <w:rPr>
                      <w:rFonts w:hint="eastAsia"/>
                      <w:lang w:eastAsia="zh-CN"/>
                    </w:rPr>
                    <w:t>废气</w:t>
                  </w:r>
                </w:p>
              </w:tc>
              <w:tc>
                <w:tcPr>
                  <w:tcW w:w="478" w:type="pct"/>
                  <w:vMerge w:val="continue"/>
                  <w:vAlign w:val="center"/>
                </w:tcPr>
                <w:p>
                  <w:pPr>
                    <w:pStyle w:val="56"/>
                  </w:pPr>
                </w:p>
              </w:tc>
              <w:tc>
                <w:tcPr>
                  <w:tcW w:w="479" w:type="pct"/>
                  <w:vMerge w:val="restart"/>
                  <w:vAlign w:val="center"/>
                </w:tcPr>
                <w:p>
                  <w:pPr>
                    <w:pStyle w:val="56"/>
                  </w:pPr>
                  <w:r>
                    <w:rPr>
                      <w:rFonts w:hint="eastAsia"/>
                      <w:lang w:eastAsia="zh-CN"/>
                    </w:rPr>
                    <w:t>活性炭处理</w:t>
                  </w:r>
                </w:p>
              </w:tc>
              <w:tc>
                <w:tcPr>
                  <w:tcW w:w="573" w:type="pct"/>
                  <w:vAlign w:val="center"/>
                </w:tcPr>
                <w:p>
                  <w:pPr>
                    <w:pStyle w:val="56"/>
                  </w:pPr>
                  <w:r>
                    <w:rPr>
                      <w:rFonts w:hint="eastAsia"/>
                      <w:lang w:eastAsia="zh-CN"/>
                    </w:rPr>
                    <w:t>是</w:t>
                  </w:r>
                </w:p>
              </w:tc>
              <w:tc>
                <w:tcPr>
                  <w:tcW w:w="478" w:type="pct"/>
                  <w:vAlign w:val="center"/>
                </w:tcPr>
                <w:p>
                  <w:pPr>
                    <w:pStyle w:val="56"/>
                  </w:pPr>
                  <w:r>
                    <w:rPr>
                      <w:rFonts w:hint="eastAsia"/>
                    </w:rPr>
                    <w:t>13000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630*400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pPr>
                    <w:pStyle w:val="56"/>
                  </w:pPr>
                  <w:r>
                    <w:rPr>
                      <w:rFonts w:hint="eastAsia"/>
                      <w:lang w:eastAsia="zh-CN"/>
                    </w:rPr>
                    <w:t>DA</w:t>
                  </w:r>
                  <w:r>
                    <w:t>011</w:t>
                  </w:r>
                </w:p>
              </w:tc>
              <w:tc>
                <w:tcPr>
                  <w:tcW w:w="1147" w:type="pct"/>
                  <w:vAlign w:val="center"/>
                </w:tcPr>
                <w:p>
                  <w:pPr>
                    <w:pStyle w:val="56"/>
                  </w:pPr>
                  <w:r>
                    <w:rPr>
                      <w:rFonts w:hint="eastAsia"/>
                    </w:rPr>
                    <w:t>尿粪分析室、病理预埋室</w:t>
                  </w:r>
                  <w:r>
                    <w:rPr>
                      <w:rFonts w:hint="eastAsia"/>
                      <w:lang w:eastAsia="zh-CN"/>
                    </w:rPr>
                    <w:t>废气</w:t>
                  </w:r>
                </w:p>
              </w:tc>
              <w:tc>
                <w:tcPr>
                  <w:tcW w:w="478" w:type="pct"/>
                  <w:vMerge w:val="continue"/>
                  <w:vAlign w:val="center"/>
                </w:tcPr>
                <w:p>
                  <w:pPr>
                    <w:pStyle w:val="56"/>
                  </w:pPr>
                </w:p>
              </w:tc>
              <w:tc>
                <w:tcPr>
                  <w:tcW w:w="479" w:type="pct"/>
                  <w:vMerge w:val="continue"/>
                  <w:vAlign w:val="center"/>
                </w:tcPr>
                <w:p>
                  <w:pPr>
                    <w:pStyle w:val="56"/>
                  </w:pPr>
                </w:p>
              </w:tc>
              <w:tc>
                <w:tcPr>
                  <w:tcW w:w="573" w:type="pct"/>
                  <w:vAlign w:val="center"/>
                </w:tcPr>
                <w:p>
                  <w:pPr>
                    <w:pStyle w:val="56"/>
                  </w:pPr>
                  <w:r>
                    <w:rPr>
                      <w:rFonts w:hint="eastAsia"/>
                      <w:lang w:eastAsia="zh-CN"/>
                    </w:rPr>
                    <w:t>是</w:t>
                  </w:r>
                </w:p>
              </w:tc>
              <w:tc>
                <w:tcPr>
                  <w:tcW w:w="478" w:type="pct"/>
                  <w:vAlign w:val="center"/>
                </w:tcPr>
                <w:p>
                  <w:pPr>
                    <w:pStyle w:val="56"/>
                  </w:pPr>
                  <w:r>
                    <w:rPr>
                      <w:rFonts w:hint="eastAsia"/>
                    </w:rPr>
                    <w:t>10000</w:t>
                  </w:r>
                </w:p>
              </w:tc>
              <w:tc>
                <w:tcPr>
                  <w:tcW w:w="574" w:type="pct"/>
                  <w:vAlign w:val="center"/>
                </w:tcPr>
                <w:p>
                  <w:pPr>
                    <w:pStyle w:val="56"/>
                  </w:pPr>
                  <w:r>
                    <w:rPr>
                      <w:rFonts w:hint="eastAsia"/>
                    </w:rPr>
                    <w:t>2</w:t>
                  </w:r>
                  <w:r>
                    <w:t>0</w:t>
                  </w:r>
                </w:p>
              </w:tc>
              <w:tc>
                <w:tcPr>
                  <w:tcW w:w="656" w:type="pct"/>
                  <w:vAlign w:val="center"/>
                </w:tcPr>
                <w:p>
                  <w:pPr>
                    <w:pStyle w:val="56"/>
                  </w:pPr>
                  <w:r>
                    <w:rPr>
                      <w:rFonts w:hint="eastAsia"/>
                    </w:rPr>
                    <w:t>800*400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pStyle w:val="56"/>
                    <w:jc w:val="both"/>
                    <w:rPr>
                      <w:lang w:eastAsia="zh-CN"/>
                    </w:rPr>
                  </w:pPr>
                  <w:r>
                    <w:rPr>
                      <w:rFonts w:hint="eastAsia"/>
                      <w:lang w:eastAsia="zh-CN"/>
                    </w:rPr>
                    <w:t>注：项目使用矩形管道。</w:t>
                  </w:r>
                </w:p>
              </w:tc>
            </w:tr>
          </w:tbl>
          <w:p>
            <w:pPr>
              <w:pStyle w:val="56"/>
            </w:pPr>
          </w:p>
          <w:p>
            <w:pPr>
              <w:pStyle w:val="5"/>
              <w:rPr>
                <w:lang w:eastAsia="zh-CN"/>
              </w:rPr>
            </w:pPr>
            <w:r>
              <w:rPr>
                <w:rFonts w:hint="eastAsia"/>
                <w:lang w:eastAsia="zh-CN"/>
              </w:rPr>
              <w:t>废气监测计划</w:t>
            </w:r>
          </w:p>
          <w:p>
            <w:pPr>
              <w:ind w:firstLine="480"/>
              <w:rPr>
                <w:lang w:val="zh-CN"/>
              </w:rPr>
            </w:pPr>
            <w:r>
              <w:rPr>
                <w:rFonts w:hint="eastAsia"/>
                <w:lang w:val="zh-CN"/>
              </w:rPr>
              <w:t>根据《排污单位自行监测技术指南 总则》（HJ819-2017）以及参照《排污许可证申请与核发技术规范 医疗机构》（HJ1105-2020），制定本项目废气污染源监测计划，详见下表：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12</w:t>
            </w:r>
            <w:r>
              <w:fldChar w:fldCharType="end"/>
            </w:r>
            <w:r>
              <w:rPr>
                <w:rFonts w:hint="eastAsia"/>
              </w:rPr>
              <w:t>项目废气监测计划</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36"/>
              <w:gridCol w:w="2467"/>
              <w:gridCol w:w="1190"/>
              <w:gridCol w:w="987"/>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restart"/>
                  <w:vAlign w:val="center"/>
                </w:tcPr>
                <w:p>
                  <w:pPr>
                    <w:pStyle w:val="66"/>
                    <w:spacing w:before="24" w:after="24"/>
                  </w:pPr>
                  <w:r>
                    <w:rPr>
                      <w:rFonts w:hint="eastAsia"/>
                    </w:rPr>
                    <w:t>污染源类别</w:t>
                  </w:r>
                </w:p>
              </w:tc>
              <w:tc>
                <w:tcPr>
                  <w:tcW w:w="699" w:type="pct"/>
                  <w:vMerge w:val="restart"/>
                  <w:vAlign w:val="center"/>
                </w:tcPr>
                <w:p>
                  <w:pPr>
                    <w:pStyle w:val="66"/>
                    <w:spacing w:before="24" w:after="24"/>
                  </w:pPr>
                  <w:r>
                    <w:rPr>
                      <w:rFonts w:hint="eastAsia"/>
                    </w:rPr>
                    <w:t>排污口编号及名称</w:t>
                  </w:r>
                </w:p>
              </w:tc>
              <w:tc>
                <w:tcPr>
                  <w:tcW w:w="1665" w:type="pct"/>
                  <w:vMerge w:val="restart"/>
                  <w:vAlign w:val="center"/>
                </w:tcPr>
                <w:p>
                  <w:pPr>
                    <w:pStyle w:val="66"/>
                    <w:spacing w:before="24" w:after="24"/>
                  </w:pPr>
                  <w:r>
                    <w:rPr>
                      <w:rFonts w:hint="eastAsia"/>
                    </w:rPr>
                    <w:t>排放标准</w:t>
                  </w:r>
                </w:p>
              </w:tc>
              <w:tc>
                <w:tcPr>
                  <w:tcW w:w="2141" w:type="pct"/>
                  <w:gridSpan w:val="3"/>
                  <w:vAlign w:val="center"/>
                </w:tcPr>
                <w:p>
                  <w:pPr>
                    <w:pStyle w:val="66"/>
                    <w:spacing w:before="24" w:after="24"/>
                  </w:pPr>
                  <w:r>
                    <w:rPr>
                      <w:rFonts w:hint="eastAsia"/>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Merge w:val="continue"/>
                  <w:vAlign w:val="center"/>
                </w:tcPr>
                <w:p>
                  <w:pPr>
                    <w:pStyle w:val="66"/>
                    <w:spacing w:before="24" w:after="24"/>
                  </w:pPr>
                </w:p>
              </w:tc>
              <w:tc>
                <w:tcPr>
                  <w:tcW w:w="1665" w:type="pct"/>
                  <w:vMerge w:val="continue"/>
                  <w:vAlign w:val="center"/>
                </w:tcPr>
                <w:p>
                  <w:pPr>
                    <w:pStyle w:val="66"/>
                    <w:spacing w:before="24" w:after="24"/>
                  </w:pPr>
                </w:p>
              </w:tc>
              <w:tc>
                <w:tcPr>
                  <w:tcW w:w="803" w:type="pct"/>
                  <w:vAlign w:val="center"/>
                </w:tcPr>
                <w:p>
                  <w:pPr>
                    <w:pStyle w:val="66"/>
                    <w:spacing w:before="24" w:after="24"/>
                  </w:pPr>
                  <w:r>
                    <w:rPr>
                      <w:rFonts w:hint="eastAsia"/>
                    </w:rPr>
                    <w:t>监测点位</w:t>
                  </w:r>
                </w:p>
              </w:tc>
              <w:tc>
                <w:tcPr>
                  <w:tcW w:w="666" w:type="pct"/>
                  <w:vAlign w:val="center"/>
                </w:tcPr>
                <w:p>
                  <w:pPr>
                    <w:pStyle w:val="66"/>
                    <w:spacing w:before="24" w:after="24"/>
                  </w:pPr>
                  <w:r>
                    <w:rPr>
                      <w:rFonts w:hint="eastAsia"/>
                    </w:rPr>
                    <w:t>监测因子</w:t>
                  </w:r>
                </w:p>
              </w:tc>
              <w:tc>
                <w:tcPr>
                  <w:tcW w:w="672" w:type="pct"/>
                  <w:vAlign w:val="center"/>
                </w:tcPr>
                <w:p>
                  <w:pPr>
                    <w:pStyle w:val="66"/>
                    <w:spacing w:before="24" w:after="24"/>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restart"/>
                  <w:vAlign w:val="center"/>
                </w:tcPr>
                <w:p>
                  <w:pPr>
                    <w:pStyle w:val="66"/>
                    <w:spacing w:before="24" w:after="24"/>
                  </w:pPr>
                  <w:r>
                    <w:rPr>
                      <w:rFonts w:hint="eastAsia"/>
                      <w:lang w:eastAsia="zh-CN"/>
                    </w:rPr>
                    <w:t>有组织</w:t>
                  </w:r>
                </w:p>
              </w:tc>
              <w:tc>
                <w:tcPr>
                  <w:tcW w:w="699" w:type="pct"/>
                  <w:vAlign w:val="center"/>
                </w:tcPr>
                <w:p>
                  <w:pPr>
                    <w:pStyle w:val="56"/>
                  </w:pPr>
                  <w:r>
                    <w:rPr>
                      <w:rFonts w:hint="eastAsia"/>
                    </w:rPr>
                    <w:t>DA</w:t>
                  </w:r>
                  <w:r>
                    <w:t>001</w:t>
                  </w:r>
                </w:p>
              </w:tc>
              <w:tc>
                <w:tcPr>
                  <w:tcW w:w="1665" w:type="pct"/>
                  <w:vMerge w:val="restart"/>
                  <w:vAlign w:val="center"/>
                </w:tcPr>
                <w:p>
                  <w:pPr>
                    <w:pStyle w:val="66"/>
                    <w:spacing w:before="24" w:after="24"/>
                  </w:pPr>
                  <w:r>
                    <w:rPr>
                      <w:rFonts w:hint="eastAsia"/>
                    </w:rPr>
                    <w:t>执行《大气污染物排放限值》（DB 44/27-2001）中第二时段二级标准</w:t>
                  </w:r>
                </w:p>
              </w:tc>
              <w:tc>
                <w:tcPr>
                  <w:tcW w:w="803" w:type="pct"/>
                  <w:vAlign w:val="center"/>
                </w:tcPr>
                <w:p>
                  <w:pPr>
                    <w:pStyle w:val="56"/>
                  </w:pPr>
                  <w:r>
                    <w:rPr>
                      <w:rFonts w:hint="eastAsia"/>
                    </w:rPr>
                    <w:t>DA</w:t>
                  </w:r>
                  <w:r>
                    <w:t>001</w:t>
                  </w:r>
                </w:p>
              </w:tc>
              <w:tc>
                <w:tcPr>
                  <w:tcW w:w="666" w:type="pct"/>
                  <w:vMerge w:val="restart"/>
                  <w:vAlign w:val="center"/>
                </w:tcPr>
                <w:p>
                  <w:pPr>
                    <w:pStyle w:val="66"/>
                    <w:spacing w:before="24" w:after="24"/>
                  </w:pPr>
                  <w:r>
                    <w:rPr>
                      <w:rFonts w:hint="eastAsia"/>
                      <w:lang w:eastAsia="zh-CN"/>
                    </w:rPr>
                    <w:t>非甲烷总烃</w:t>
                  </w:r>
                </w:p>
              </w:tc>
              <w:tc>
                <w:tcPr>
                  <w:tcW w:w="672" w:type="pct"/>
                  <w:vMerge w:val="restart"/>
                  <w:vAlign w:val="center"/>
                </w:tcPr>
                <w:p>
                  <w:pPr>
                    <w:pStyle w:val="66"/>
                    <w:spacing w:before="24" w:after="24"/>
                    <w:rPr>
                      <w:lang w:eastAsia="zh-CN"/>
                    </w:rPr>
                  </w:pPr>
                  <w:r>
                    <w:rPr>
                      <w:rFonts w:hint="eastAsia"/>
                      <w:lang w:eastAsia="zh-CN"/>
                    </w:rPr>
                    <w:t>半年/次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002</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002</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003</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003</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004</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004</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005</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005</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006</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006</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007</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007</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008</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008</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009</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009</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010</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010</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56"/>
                  </w:pPr>
                  <w:r>
                    <w:rPr>
                      <w:rFonts w:hint="eastAsia"/>
                    </w:rPr>
                    <w:t>DA</w:t>
                  </w:r>
                  <w:r>
                    <w:t>011</w:t>
                  </w:r>
                </w:p>
              </w:tc>
              <w:tc>
                <w:tcPr>
                  <w:tcW w:w="1665" w:type="pct"/>
                  <w:vMerge w:val="continue"/>
                  <w:vAlign w:val="center"/>
                </w:tcPr>
                <w:p>
                  <w:pPr>
                    <w:pStyle w:val="66"/>
                    <w:spacing w:before="24" w:after="24"/>
                  </w:pPr>
                </w:p>
              </w:tc>
              <w:tc>
                <w:tcPr>
                  <w:tcW w:w="803" w:type="pct"/>
                  <w:vAlign w:val="center"/>
                </w:tcPr>
                <w:p>
                  <w:pPr>
                    <w:pStyle w:val="56"/>
                  </w:pPr>
                  <w:r>
                    <w:rPr>
                      <w:rFonts w:hint="eastAsia"/>
                    </w:rPr>
                    <w:t>DA</w:t>
                  </w:r>
                  <w:r>
                    <w:t>011</w:t>
                  </w:r>
                </w:p>
              </w:tc>
              <w:tc>
                <w:tcPr>
                  <w:tcW w:w="666" w:type="pct"/>
                  <w:vMerge w:val="continue"/>
                  <w:vAlign w:val="center"/>
                </w:tcPr>
                <w:p>
                  <w:pPr>
                    <w:pStyle w:val="66"/>
                    <w:spacing w:before="24" w:after="24"/>
                  </w:pPr>
                </w:p>
              </w:tc>
              <w:tc>
                <w:tcPr>
                  <w:tcW w:w="672" w:type="pct"/>
                  <w:vMerge w:val="continue"/>
                  <w:vAlign w:val="center"/>
                </w:tcPr>
                <w:p>
                  <w:pPr>
                    <w:pStyle w:val="66"/>
                    <w:spacing w:before="24" w:after="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restart"/>
                  <w:vAlign w:val="center"/>
                </w:tcPr>
                <w:p>
                  <w:pPr>
                    <w:pStyle w:val="66"/>
                    <w:spacing w:before="24" w:after="24"/>
                  </w:pPr>
                  <w:r>
                    <w:rPr>
                      <w:rFonts w:hint="eastAsia"/>
                    </w:rPr>
                    <w:t>无组织</w:t>
                  </w:r>
                </w:p>
              </w:tc>
              <w:tc>
                <w:tcPr>
                  <w:tcW w:w="699" w:type="pct"/>
                  <w:vAlign w:val="center"/>
                </w:tcPr>
                <w:p>
                  <w:pPr>
                    <w:pStyle w:val="66"/>
                    <w:spacing w:before="24" w:after="24"/>
                  </w:pPr>
                  <w:r>
                    <w:rPr>
                      <w:rFonts w:hint="eastAsia"/>
                    </w:rPr>
                    <w:t>厂界</w:t>
                  </w:r>
                </w:p>
              </w:tc>
              <w:tc>
                <w:tcPr>
                  <w:tcW w:w="1665" w:type="pct"/>
                  <w:vAlign w:val="center"/>
                </w:tcPr>
                <w:p>
                  <w:pPr>
                    <w:pStyle w:val="66"/>
                    <w:spacing w:before="24" w:after="24"/>
                  </w:pPr>
                  <w:r>
                    <w:rPr>
                      <w:rFonts w:hint="eastAsia"/>
                    </w:rPr>
                    <w:t>广东省地方标准《大气污染物排放限值》（DB44/27-2001）</w:t>
                  </w:r>
                  <w:r>
                    <w:rPr>
                      <w:rFonts w:hint="eastAsia"/>
                      <w:spacing w:val="8"/>
                      <w:szCs w:val="32"/>
                      <w:lang w:bidi="ar"/>
                    </w:rPr>
                    <w:t>无组织排放监控点浓度限值要求</w:t>
                  </w:r>
                </w:p>
              </w:tc>
              <w:tc>
                <w:tcPr>
                  <w:tcW w:w="803" w:type="pct"/>
                  <w:vAlign w:val="center"/>
                </w:tcPr>
                <w:p>
                  <w:pPr>
                    <w:pStyle w:val="66"/>
                    <w:spacing w:before="24" w:after="24"/>
                  </w:pPr>
                  <w:r>
                    <w:rPr>
                      <w:rFonts w:hint="eastAsia"/>
                    </w:rPr>
                    <w:t>厂界上风向、下风向</w:t>
                  </w:r>
                </w:p>
              </w:tc>
              <w:tc>
                <w:tcPr>
                  <w:tcW w:w="666" w:type="pct"/>
                  <w:vAlign w:val="center"/>
                </w:tcPr>
                <w:p>
                  <w:pPr>
                    <w:pStyle w:val="66"/>
                    <w:spacing w:before="24" w:after="24"/>
                  </w:pPr>
                  <w:r>
                    <w:rPr>
                      <w:rFonts w:hint="eastAsia"/>
                      <w:lang w:eastAsia="zh-CN"/>
                    </w:rPr>
                    <w:t>非甲烷总烃</w:t>
                  </w:r>
                </w:p>
              </w:tc>
              <w:tc>
                <w:tcPr>
                  <w:tcW w:w="672" w:type="pct"/>
                  <w:vAlign w:val="center"/>
                </w:tcPr>
                <w:p>
                  <w:pPr>
                    <w:pStyle w:val="66"/>
                    <w:spacing w:before="24" w:after="24"/>
                  </w:pPr>
                  <w:r>
                    <w:rPr>
                      <w:rFonts w:hint="eastAsia"/>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66"/>
                    <w:spacing w:before="24" w:after="24"/>
                    <w:rPr>
                      <w:lang w:eastAsia="zh-CN"/>
                    </w:rPr>
                  </w:pPr>
                  <w:r>
                    <w:rPr>
                      <w:rFonts w:hint="eastAsia"/>
                      <w:lang w:eastAsia="zh-CN"/>
                    </w:rPr>
                    <w:t>厂内</w:t>
                  </w:r>
                </w:p>
              </w:tc>
              <w:tc>
                <w:tcPr>
                  <w:tcW w:w="1665" w:type="pct"/>
                  <w:vAlign w:val="center"/>
                </w:tcPr>
                <w:p>
                  <w:pPr>
                    <w:pStyle w:val="66"/>
                    <w:spacing w:before="24" w:after="24"/>
                  </w:pPr>
                  <w:r>
                    <w:rPr>
                      <w:rFonts w:hint="eastAsia"/>
                    </w:rPr>
                    <w:t>执行《挥发性有机物无组织排放控制标准》（GB 37822-2019）特别排放限值与《固定污染源挥发性有机物综合排放标准》（</w:t>
                  </w:r>
                  <w:r>
                    <w:t>DB44/ 2367—2022</w:t>
                  </w:r>
                  <w:r>
                    <w:rPr>
                      <w:rFonts w:hint="eastAsia"/>
                    </w:rPr>
                    <w:t>）较严值</w:t>
                  </w:r>
                </w:p>
              </w:tc>
              <w:tc>
                <w:tcPr>
                  <w:tcW w:w="803" w:type="pct"/>
                  <w:vAlign w:val="center"/>
                </w:tcPr>
                <w:p>
                  <w:pPr>
                    <w:pStyle w:val="66"/>
                    <w:spacing w:before="24" w:after="24"/>
                  </w:pPr>
                  <w:r>
                    <w:rPr>
                      <w:rFonts w:hint="eastAsia"/>
                      <w:lang w:eastAsia="zh-CN"/>
                    </w:rPr>
                    <w:t>厂内</w:t>
                  </w:r>
                </w:p>
              </w:tc>
              <w:tc>
                <w:tcPr>
                  <w:tcW w:w="666" w:type="pct"/>
                  <w:vAlign w:val="center"/>
                </w:tcPr>
                <w:p>
                  <w:pPr>
                    <w:pStyle w:val="66"/>
                    <w:spacing w:before="24" w:after="24"/>
                  </w:pPr>
                  <w:r>
                    <w:rPr>
                      <w:rFonts w:hint="eastAsia"/>
                      <w:lang w:eastAsia="zh-CN"/>
                    </w:rPr>
                    <w:t>非甲烷总烃</w:t>
                  </w:r>
                </w:p>
              </w:tc>
              <w:tc>
                <w:tcPr>
                  <w:tcW w:w="672" w:type="pct"/>
                  <w:vAlign w:val="center"/>
                </w:tcPr>
                <w:p>
                  <w:pPr>
                    <w:pStyle w:val="66"/>
                    <w:spacing w:before="24" w:after="24"/>
                  </w:pPr>
                  <w:r>
                    <w:rPr>
                      <w:rFonts w:hint="eastAsia"/>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5" w:type="pct"/>
                  <w:vMerge w:val="continue"/>
                  <w:vAlign w:val="center"/>
                </w:tcPr>
                <w:p>
                  <w:pPr>
                    <w:pStyle w:val="66"/>
                    <w:spacing w:before="24" w:after="24"/>
                  </w:pPr>
                </w:p>
              </w:tc>
              <w:tc>
                <w:tcPr>
                  <w:tcW w:w="699" w:type="pct"/>
                  <w:vAlign w:val="center"/>
                </w:tcPr>
                <w:p>
                  <w:pPr>
                    <w:pStyle w:val="66"/>
                    <w:spacing w:before="24" w:after="24"/>
                  </w:pPr>
                  <w:r>
                    <w:rPr>
                      <w:rFonts w:hint="eastAsia"/>
                    </w:rPr>
                    <w:t>污水站边界</w:t>
                  </w:r>
                </w:p>
              </w:tc>
              <w:tc>
                <w:tcPr>
                  <w:tcW w:w="1665" w:type="pct"/>
                  <w:vAlign w:val="center"/>
                </w:tcPr>
                <w:p>
                  <w:pPr>
                    <w:pStyle w:val="66"/>
                    <w:spacing w:before="24" w:after="24"/>
                  </w:pPr>
                  <w:r>
                    <w:rPr>
                      <w:rFonts w:hint="eastAsia"/>
                    </w:rPr>
                    <w:t>《医疗机构水污染物排放标准》（GB18466-2005）表3污水处理站周边大气污染物最高允许浓度</w:t>
                  </w:r>
                </w:p>
              </w:tc>
              <w:tc>
                <w:tcPr>
                  <w:tcW w:w="803" w:type="pct"/>
                  <w:vAlign w:val="center"/>
                </w:tcPr>
                <w:p>
                  <w:pPr>
                    <w:pStyle w:val="66"/>
                    <w:spacing w:before="24" w:after="24"/>
                  </w:pPr>
                  <w:r>
                    <w:rPr>
                      <w:rFonts w:hint="eastAsia"/>
                    </w:rPr>
                    <w:t>污水站边界</w:t>
                  </w:r>
                </w:p>
              </w:tc>
              <w:tc>
                <w:tcPr>
                  <w:tcW w:w="666" w:type="pct"/>
                  <w:vAlign w:val="center"/>
                </w:tcPr>
                <w:p>
                  <w:pPr>
                    <w:pStyle w:val="66"/>
                    <w:spacing w:before="24" w:after="24"/>
                  </w:pPr>
                  <w:r>
                    <w:rPr>
                      <w:rFonts w:hint="eastAsia"/>
                    </w:rPr>
                    <w:t>氨、硫化氢、臭气浓度</w:t>
                  </w:r>
                </w:p>
              </w:tc>
              <w:tc>
                <w:tcPr>
                  <w:tcW w:w="672" w:type="pct"/>
                  <w:vAlign w:val="center"/>
                </w:tcPr>
                <w:p>
                  <w:pPr>
                    <w:pStyle w:val="66"/>
                    <w:spacing w:before="24" w:after="24"/>
                  </w:pPr>
                  <w:r>
                    <w:rPr>
                      <w:rFonts w:hint="eastAsia"/>
                    </w:rPr>
                    <w:t>1次/季度</w:t>
                  </w:r>
                </w:p>
              </w:tc>
            </w:tr>
          </w:tbl>
          <w:p>
            <w:pPr>
              <w:pStyle w:val="5"/>
              <w:rPr>
                <w:lang w:eastAsia="zh-CN"/>
              </w:rPr>
            </w:pPr>
            <w:r>
              <w:rPr>
                <w:rFonts w:hint="eastAsia"/>
                <w:lang w:eastAsia="zh-CN"/>
              </w:rPr>
              <w:t>非正常工况</w:t>
            </w:r>
          </w:p>
          <w:p>
            <w:pPr>
              <w:ind w:firstLine="480"/>
              <w:rPr>
                <w:lang w:val="zh-CN"/>
              </w:rPr>
            </w:pPr>
            <w:r>
              <w:rPr>
                <w:rFonts w:hint="eastAsia"/>
                <w:lang w:val="zh-CN"/>
              </w:rPr>
              <w:t>非正常排放是指生产过程中开停车（工、炉）、设备检修、工艺设备运转异常等非正常工况下的污染物排放，以及污染物排放控制措施达不到应有效率等情况下的排放。</w:t>
            </w:r>
          </w:p>
          <w:p>
            <w:pPr>
              <w:ind w:firstLine="480"/>
              <w:rPr>
                <w:lang w:val="zh-CN"/>
              </w:rPr>
            </w:pPr>
            <w:r>
              <w:rPr>
                <w:rFonts w:hint="eastAsia"/>
                <w:lang w:val="zh-CN"/>
              </w:rPr>
              <w:t>本项目非正常情况下排放主要为活性炭处理措施、高效过滤措施、通风橱等设施出现故障时，但实验室均为独立密闭房间，因此出现故障时，风机停止运转，不会导致恶臭气体或有机气体向室外排放，但为了防治产生更多的废气应及时停止生产进行废气处理措施进行检修。</w:t>
            </w:r>
          </w:p>
          <w:p>
            <w:pPr>
              <w:ind w:firstLine="480"/>
              <w:rPr>
                <w:lang w:val="zh-CN"/>
              </w:rPr>
            </w:pPr>
            <w:r>
              <w:rPr>
                <w:rFonts w:hint="eastAsia"/>
                <w:lang w:val="zh-CN"/>
              </w:rPr>
              <w:t>废气非正常情况排放源强核算如下表：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13</w:t>
            </w:r>
            <w:r>
              <w:fldChar w:fldCharType="end"/>
            </w:r>
            <w:r>
              <w:rPr>
                <w:rFonts w:hint="eastAsia"/>
              </w:rPr>
              <w:t>废气非正常工况排放源强核算表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992"/>
              <w:gridCol w:w="1133"/>
              <w:gridCol w:w="845"/>
              <w:gridCol w:w="1138"/>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pStyle w:val="56"/>
                  </w:pPr>
                  <w:r>
                    <w:rPr>
                      <w:rFonts w:hint="eastAsia"/>
                      <w:lang w:eastAsia="zh-CN"/>
                    </w:rPr>
                    <w:t>排放方式</w:t>
                  </w:r>
                </w:p>
              </w:tc>
              <w:tc>
                <w:tcPr>
                  <w:tcW w:w="669" w:type="pct"/>
                  <w:vAlign w:val="center"/>
                </w:tcPr>
                <w:p>
                  <w:pPr>
                    <w:pStyle w:val="56"/>
                  </w:pPr>
                  <w:r>
                    <w:rPr>
                      <w:rFonts w:hint="eastAsia"/>
                      <w:lang w:eastAsia="zh-CN"/>
                    </w:rPr>
                    <w:t>排放口编号</w:t>
                  </w:r>
                </w:p>
              </w:tc>
              <w:tc>
                <w:tcPr>
                  <w:tcW w:w="764" w:type="pct"/>
                  <w:vAlign w:val="center"/>
                </w:tcPr>
                <w:p>
                  <w:pPr>
                    <w:pStyle w:val="56"/>
                  </w:pPr>
                  <w:r>
                    <w:rPr>
                      <w:rFonts w:hint="eastAsia"/>
                      <w:lang w:eastAsia="zh-CN"/>
                    </w:rPr>
                    <w:t>非正常排放原因</w:t>
                  </w:r>
                </w:p>
              </w:tc>
              <w:tc>
                <w:tcPr>
                  <w:tcW w:w="570" w:type="pct"/>
                  <w:vAlign w:val="center"/>
                </w:tcPr>
                <w:p>
                  <w:pPr>
                    <w:pStyle w:val="56"/>
                  </w:pPr>
                  <w:r>
                    <w:rPr>
                      <w:rFonts w:hint="eastAsia"/>
                      <w:lang w:eastAsia="zh-CN"/>
                    </w:rPr>
                    <w:t>污染物种类</w:t>
                  </w:r>
                </w:p>
              </w:tc>
              <w:tc>
                <w:tcPr>
                  <w:tcW w:w="768" w:type="pct"/>
                  <w:vAlign w:val="center"/>
                </w:tcPr>
                <w:p>
                  <w:pPr>
                    <w:pStyle w:val="56"/>
                    <w:rPr>
                      <w:lang w:eastAsia="zh-CN"/>
                    </w:rPr>
                  </w:pPr>
                  <w:r>
                    <w:rPr>
                      <w:rFonts w:hint="eastAsia"/>
                      <w:lang w:eastAsia="zh-CN"/>
                    </w:rPr>
                    <w:t>非正常排放浓度mg/m</w:t>
                  </w:r>
                  <w:r>
                    <w:rPr>
                      <w:rFonts w:hint="eastAsia"/>
                      <w:vertAlign w:val="superscript"/>
                      <w:lang w:eastAsia="zh-CN"/>
                    </w:rPr>
                    <w:t>3</w:t>
                  </w:r>
                </w:p>
              </w:tc>
              <w:tc>
                <w:tcPr>
                  <w:tcW w:w="1703" w:type="pct"/>
                  <w:vAlign w:val="center"/>
                </w:tcPr>
                <w:p>
                  <w:pPr>
                    <w:pStyle w:val="56"/>
                  </w:pPr>
                  <w:r>
                    <w:rPr>
                      <w:rFonts w:hint="eastAsia"/>
                      <w:lang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525" w:type="pct"/>
                  <w:vMerge w:val="restart"/>
                  <w:vAlign w:val="center"/>
                </w:tcPr>
                <w:p>
                  <w:pPr>
                    <w:pStyle w:val="56"/>
                  </w:pPr>
                  <w:r>
                    <w:rPr>
                      <w:rFonts w:hint="eastAsia"/>
                      <w:lang w:eastAsia="zh-CN"/>
                    </w:rPr>
                    <w:t>有组织</w:t>
                  </w:r>
                </w:p>
              </w:tc>
              <w:tc>
                <w:tcPr>
                  <w:tcW w:w="669" w:type="pct"/>
                  <w:vAlign w:val="center"/>
                </w:tcPr>
                <w:p>
                  <w:pPr>
                    <w:pStyle w:val="56"/>
                  </w:pPr>
                  <w:r>
                    <w:rPr>
                      <w:rFonts w:hint="eastAsia"/>
                    </w:rPr>
                    <w:t>DA</w:t>
                  </w:r>
                  <w:r>
                    <w:t>010</w:t>
                  </w:r>
                </w:p>
              </w:tc>
              <w:tc>
                <w:tcPr>
                  <w:tcW w:w="764" w:type="pct"/>
                  <w:vMerge w:val="restart"/>
                  <w:vAlign w:val="center"/>
                </w:tcPr>
                <w:p>
                  <w:pPr>
                    <w:pStyle w:val="56"/>
                  </w:pPr>
                  <w:r>
                    <w:rPr>
                      <w:rFonts w:hint="eastAsia"/>
                      <w:lang w:eastAsia="zh-CN"/>
                    </w:rPr>
                    <w:t>活性炭处理措施故障</w:t>
                  </w:r>
                </w:p>
              </w:tc>
              <w:tc>
                <w:tcPr>
                  <w:tcW w:w="570" w:type="pct"/>
                  <w:vMerge w:val="restart"/>
                  <w:vAlign w:val="center"/>
                </w:tcPr>
                <w:p>
                  <w:pPr>
                    <w:pStyle w:val="56"/>
                  </w:pPr>
                  <w:r>
                    <w:rPr>
                      <w:rFonts w:hint="eastAsia"/>
                      <w:lang w:eastAsia="zh-CN"/>
                    </w:rPr>
                    <w:t>非甲烷总烃</w:t>
                  </w:r>
                </w:p>
              </w:tc>
              <w:tc>
                <w:tcPr>
                  <w:tcW w:w="768" w:type="pct"/>
                  <w:vAlign w:val="center"/>
                </w:tcPr>
                <w:p>
                  <w:pPr>
                    <w:pStyle w:val="56"/>
                  </w:pPr>
                  <w:r>
                    <w:rPr>
                      <w:rFonts w:hint="eastAsia"/>
                    </w:rPr>
                    <w:t>0.172</w:t>
                  </w:r>
                </w:p>
              </w:tc>
              <w:tc>
                <w:tcPr>
                  <w:tcW w:w="1703" w:type="pct"/>
                  <w:vMerge w:val="restart"/>
                  <w:vAlign w:val="center"/>
                </w:tcPr>
                <w:p>
                  <w:pPr>
                    <w:pStyle w:val="56"/>
                  </w:pPr>
                  <w:r>
                    <w:rPr>
                      <w:rFonts w:hint="eastAsia"/>
                    </w:rPr>
                    <w:t>运营期间应加强日常环保管理，加强废气处理设施的运营维护和管理，定期检修，确保废气处理设施正常运行，同时，企业应建立废气治理设施日常运营、维护台账，预防非正常工况的发生。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pct"/>
                  <w:vMerge w:val="continue"/>
                  <w:vAlign w:val="center"/>
                </w:tcPr>
                <w:p>
                  <w:pPr>
                    <w:pStyle w:val="56"/>
                  </w:pPr>
                </w:p>
              </w:tc>
              <w:tc>
                <w:tcPr>
                  <w:tcW w:w="669" w:type="pct"/>
                  <w:vAlign w:val="center"/>
                </w:tcPr>
                <w:p>
                  <w:pPr>
                    <w:pStyle w:val="56"/>
                  </w:pPr>
                  <w:r>
                    <w:rPr>
                      <w:rFonts w:hint="eastAsia"/>
                    </w:rPr>
                    <w:t>DA</w:t>
                  </w:r>
                  <w:r>
                    <w:t>011</w:t>
                  </w:r>
                </w:p>
              </w:tc>
              <w:tc>
                <w:tcPr>
                  <w:tcW w:w="764" w:type="pct"/>
                  <w:vMerge w:val="continue"/>
                  <w:vAlign w:val="center"/>
                </w:tcPr>
                <w:p>
                  <w:pPr>
                    <w:pStyle w:val="56"/>
                  </w:pPr>
                </w:p>
              </w:tc>
              <w:tc>
                <w:tcPr>
                  <w:tcW w:w="570" w:type="pct"/>
                  <w:vMerge w:val="continue"/>
                  <w:vAlign w:val="center"/>
                </w:tcPr>
                <w:p>
                  <w:pPr>
                    <w:pStyle w:val="56"/>
                  </w:pPr>
                </w:p>
              </w:tc>
              <w:tc>
                <w:tcPr>
                  <w:tcW w:w="768" w:type="pct"/>
                  <w:vAlign w:val="center"/>
                </w:tcPr>
                <w:p>
                  <w:pPr>
                    <w:pStyle w:val="56"/>
                  </w:pPr>
                  <w:r>
                    <w:rPr>
                      <w:rFonts w:hint="eastAsia"/>
                    </w:rPr>
                    <w:t>0.112</w:t>
                  </w:r>
                </w:p>
              </w:tc>
              <w:tc>
                <w:tcPr>
                  <w:tcW w:w="1703" w:type="pct"/>
                  <w:vMerge w:val="continue"/>
                  <w:vAlign w:val="center"/>
                </w:tcPr>
                <w:p>
                  <w:pPr>
                    <w:pStyle w:val="56"/>
                  </w:pPr>
                </w:p>
              </w:tc>
            </w:tr>
          </w:tbl>
          <w:p>
            <w:pPr>
              <w:pStyle w:val="56"/>
            </w:pPr>
          </w:p>
          <w:p>
            <w:pPr>
              <w:pStyle w:val="4"/>
              <w:rPr>
                <w:lang w:eastAsia="zh-CN"/>
              </w:rPr>
            </w:pPr>
            <w:bookmarkStart w:id="127" w:name="_Toc120889822"/>
            <w:bookmarkStart w:id="128" w:name="_Toc121147751"/>
            <w:bookmarkStart w:id="129" w:name="_Toc122338519"/>
            <w:r>
              <w:rPr>
                <w:rFonts w:hint="eastAsia"/>
                <w:lang w:eastAsia="zh-CN"/>
              </w:rPr>
              <w:t>噪声环境影响和保护措施</w:t>
            </w:r>
            <w:bookmarkEnd w:id="127"/>
            <w:bookmarkEnd w:id="128"/>
            <w:bookmarkEnd w:id="129"/>
          </w:p>
          <w:p>
            <w:pPr>
              <w:pStyle w:val="5"/>
              <w:rPr>
                <w:lang w:eastAsia="zh-CN"/>
              </w:rPr>
            </w:pPr>
            <w:r>
              <w:rPr>
                <w:rFonts w:hint="eastAsia"/>
                <w:lang w:eastAsia="zh-CN"/>
              </w:rPr>
              <w:t>噪声源强</w:t>
            </w:r>
          </w:p>
          <w:p>
            <w:pPr>
              <w:ind w:firstLine="480"/>
            </w:pPr>
            <w:r>
              <w:rPr>
                <w:rFonts w:hint="eastAsia"/>
              </w:rPr>
              <w:t>项目所用仪器均为低噪音仪器，综合噪声值约65dB(A)，其室内封闭性加强了墙体隔声和声能的自然衰减作用</w:t>
            </w:r>
            <w:r>
              <w:t>，其声源强详见下表。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14</w:t>
            </w:r>
            <w:r>
              <w:fldChar w:fldCharType="end"/>
            </w:r>
            <w:r>
              <w:rPr>
                <w:rFonts w:hint="eastAsia"/>
              </w:rPr>
              <w:t>噪声排放情况一览表</w:t>
            </w:r>
          </w:p>
          <w:tbl>
            <w:tblPr>
              <w:tblStyle w:val="36"/>
              <w:tblW w:w="5000" w:type="pct"/>
              <w:tblInd w:w="0" w:type="dxa"/>
              <w:tblLayout w:type="fixed"/>
              <w:tblCellMar>
                <w:top w:w="0" w:type="dxa"/>
                <w:left w:w="108" w:type="dxa"/>
                <w:bottom w:w="0" w:type="dxa"/>
                <w:right w:w="108" w:type="dxa"/>
              </w:tblCellMar>
            </w:tblPr>
            <w:tblGrid>
              <w:gridCol w:w="1163"/>
              <w:gridCol w:w="847"/>
              <w:gridCol w:w="689"/>
              <w:gridCol w:w="1201"/>
              <w:gridCol w:w="886"/>
              <w:gridCol w:w="1001"/>
              <w:gridCol w:w="895"/>
              <w:gridCol w:w="739"/>
            </w:tblGrid>
            <w:tr>
              <w:tblPrEx>
                <w:tblCellMar>
                  <w:top w:w="0" w:type="dxa"/>
                  <w:left w:w="108" w:type="dxa"/>
                  <w:bottom w:w="0" w:type="dxa"/>
                  <w:right w:w="108" w:type="dxa"/>
                </w:tblCellMar>
              </w:tblPrEx>
              <w:trPr>
                <w:trHeight w:val="369" w:hRule="atLeast"/>
              </w:trPr>
              <w:tc>
                <w:tcPr>
                  <w:tcW w:w="784" w:type="pct"/>
                  <w:vMerge w:val="restar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噪声源</w:t>
                  </w:r>
                </w:p>
              </w:tc>
              <w:tc>
                <w:tcPr>
                  <w:tcW w:w="571" w:type="pct"/>
                  <w:vMerge w:val="restar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数量</w:t>
                  </w:r>
                  <w:r>
                    <w:rPr>
                      <w:rFonts w:hint="eastAsia"/>
                      <w:lang w:eastAsia="zh-CN"/>
                    </w:rPr>
                    <w:t>/</w:t>
                  </w:r>
                  <w:r>
                    <w:rPr>
                      <w:rFonts w:hint="eastAsia"/>
                    </w:rPr>
                    <w:t>台</w:t>
                  </w:r>
                </w:p>
              </w:tc>
              <w:tc>
                <w:tcPr>
                  <w:tcW w:w="464" w:type="pct"/>
                  <w:vMerge w:val="restar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声源类型</w:t>
                  </w:r>
                </w:p>
              </w:tc>
              <w:tc>
                <w:tcPr>
                  <w:tcW w:w="809" w:type="pct"/>
                  <w:vMerge w:val="restar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声压级*/dB（A）</w:t>
                  </w:r>
                </w:p>
              </w:tc>
              <w:tc>
                <w:tcPr>
                  <w:tcW w:w="1271" w:type="pct"/>
                  <w:gridSpan w:val="2"/>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降噪措施</w:t>
                  </w:r>
                </w:p>
              </w:tc>
              <w:tc>
                <w:tcPr>
                  <w:tcW w:w="603" w:type="pct"/>
                  <w:vMerge w:val="restar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噪声排放值</w:t>
                  </w:r>
                  <w:r>
                    <w:t>[dB(A)]</w:t>
                  </w:r>
                </w:p>
              </w:tc>
              <w:tc>
                <w:tcPr>
                  <w:tcW w:w="498" w:type="pct"/>
                  <w:vMerge w:val="restar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持续时间</w:t>
                  </w:r>
                  <w:r>
                    <w:t>/h</w:t>
                  </w:r>
                </w:p>
              </w:tc>
            </w:tr>
            <w:tr>
              <w:tblPrEx>
                <w:tblCellMar>
                  <w:top w:w="0" w:type="dxa"/>
                  <w:left w:w="108" w:type="dxa"/>
                  <w:bottom w:w="0" w:type="dxa"/>
                  <w:right w:w="108" w:type="dxa"/>
                </w:tblCellMar>
              </w:tblPrEx>
              <w:trPr>
                <w:trHeight w:val="369" w:hRule="atLeast"/>
              </w:trPr>
              <w:tc>
                <w:tcPr>
                  <w:tcW w:w="784" w:type="pct"/>
                  <w:vMerge w:val="continue"/>
                  <w:tcBorders>
                    <w:top w:val="single" w:color="000000" w:sz="8" w:space="0"/>
                    <w:left w:val="single" w:color="000000" w:sz="8" w:space="0"/>
                    <w:bottom w:val="single" w:color="000000" w:sz="8" w:space="0"/>
                    <w:right w:val="single" w:color="000000" w:sz="8" w:space="0"/>
                  </w:tcBorders>
                  <w:vAlign w:val="center"/>
                </w:tcPr>
                <w:p>
                  <w:pPr>
                    <w:pStyle w:val="66"/>
                  </w:pPr>
                </w:p>
              </w:tc>
              <w:tc>
                <w:tcPr>
                  <w:tcW w:w="571" w:type="pct"/>
                  <w:vMerge w:val="continue"/>
                  <w:tcBorders>
                    <w:top w:val="single" w:color="000000" w:sz="8" w:space="0"/>
                    <w:left w:val="single" w:color="000000" w:sz="8" w:space="0"/>
                    <w:bottom w:val="single" w:color="000000" w:sz="8" w:space="0"/>
                    <w:right w:val="single" w:color="000000" w:sz="8" w:space="0"/>
                  </w:tcBorders>
                  <w:vAlign w:val="center"/>
                </w:tcPr>
                <w:p>
                  <w:pPr>
                    <w:pStyle w:val="66"/>
                  </w:pPr>
                </w:p>
              </w:tc>
              <w:tc>
                <w:tcPr>
                  <w:tcW w:w="464" w:type="pct"/>
                  <w:vMerge w:val="continue"/>
                  <w:tcBorders>
                    <w:top w:val="single" w:color="000000" w:sz="8" w:space="0"/>
                    <w:left w:val="single" w:color="000000" w:sz="8" w:space="0"/>
                    <w:bottom w:val="single" w:color="000000" w:sz="8" w:space="0"/>
                    <w:right w:val="single" w:color="000000" w:sz="8" w:space="0"/>
                  </w:tcBorders>
                  <w:vAlign w:val="center"/>
                </w:tcPr>
                <w:p>
                  <w:pPr>
                    <w:pStyle w:val="66"/>
                  </w:pPr>
                </w:p>
              </w:tc>
              <w:tc>
                <w:tcPr>
                  <w:tcW w:w="809" w:type="pct"/>
                  <w:vMerge w:val="continue"/>
                  <w:tcBorders>
                    <w:top w:val="single" w:color="000000" w:sz="8" w:space="0"/>
                    <w:left w:val="single" w:color="000000" w:sz="8" w:space="0"/>
                    <w:bottom w:val="single" w:color="000000" w:sz="8" w:space="0"/>
                    <w:right w:val="single" w:color="000000" w:sz="8" w:space="0"/>
                  </w:tcBorders>
                  <w:vAlign w:val="center"/>
                </w:tcPr>
                <w:p>
                  <w:pPr>
                    <w:pStyle w:val="66"/>
                  </w:pPr>
                </w:p>
              </w:tc>
              <w:tc>
                <w:tcPr>
                  <w:tcW w:w="597"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工艺</w:t>
                  </w:r>
                </w:p>
              </w:tc>
              <w:tc>
                <w:tcPr>
                  <w:tcW w:w="67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降噪效果</w:t>
                  </w:r>
                  <w:r>
                    <w:t>[dB(A)]</w:t>
                  </w:r>
                </w:p>
              </w:tc>
              <w:tc>
                <w:tcPr>
                  <w:tcW w:w="603" w:type="pct"/>
                  <w:vMerge w:val="continue"/>
                  <w:tcBorders>
                    <w:top w:val="single" w:color="000000" w:sz="8" w:space="0"/>
                    <w:left w:val="single" w:color="000000" w:sz="8" w:space="0"/>
                    <w:bottom w:val="single" w:color="000000" w:sz="8" w:space="0"/>
                    <w:right w:val="single" w:color="000000" w:sz="8" w:space="0"/>
                  </w:tcBorders>
                  <w:vAlign w:val="center"/>
                </w:tcPr>
                <w:p>
                  <w:pPr>
                    <w:pStyle w:val="66"/>
                  </w:pPr>
                </w:p>
              </w:tc>
              <w:tc>
                <w:tcPr>
                  <w:tcW w:w="498" w:type="pct"/>
                  <w:vMerge w:val="continue"/>
                  <w:tcBorders>
                    <w:top w:val="single" w:color="000000" w:sz="8" w:space="0"/>
                    <w:left w:val="single" w:color="000000" w:sz="8" w:space="0"/>
                    <w:bottom w:val="single" w:color="000000" w:sz="8" w:space="0"/>
                    <w:right w:val="single" w:color="000000" w:sz="8" w:space="0"/>
                  </w:tcBorders>
                  <w:vAlign w:val="center"/>
                </w:tcPr>
                <w:p>
                  <w:pPr>
                    <w:pStyle w:val="66"/>
                  </w:pPr>
                </w:p>
              </w:tc>
            </w:tr>
            <w:tr>
              <w:trPr>
                <w:trHeight w:val="369" w:hRule="atLeast"/>
              </w:trPr>
              <w:tc>
                <w:tcPr>
                  <w:tcW w:w="78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纯水机</w:t>
                  </w:r>
                  <w:r>
                    <w:rPr>
                      <w:rFonts w:hint="eastAsia"/>
                      <w:lang w:eastAsia="zh-CN"/>
                    </w:rPr>
                    <w:t>房</w:t>
                  </w:r>
                </w:p>
              </w:tc>
              <w:tc>
                <w:tcPr>
                  <w:tcW w:w="571"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1</w:t>
                  </w:r>
                </w:p>
              </w:tc>
              <w:tc>
                <w:tcPr>
                  <w:tcW w:w="46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间歇</w:t>
                  </w:r>
                </w:p>
              </w:tc>
              <w:tc>
                <w:tcPr>
                  <w:tcW w:w="809" w:type="pct"/>
                  <w:tcBorders>
                    <w:top w:val="single" w:color="000000" w:sz="8" w:space="0"/>
                    <w:left w:val="single" w:color="000000" w:sz="8" w:space="0"/>
                    <w:bottom w:val="single" w:color="000000" w:sz="8" w:space="0"/>
                    <w:right w:val="single" w:color="000000" w:sz="8" w:space="0"/>
                  </w:tcBorders>
                  <w:vAlign w:val="center"/>
                </w:tcPr>
                <w:p>
                  <w:pPr>
                    <w:pStyle w:val="66"/>
                  </w:pPr>
                  <w:r>
                    <w:t>70</w:t>
                  </w:r>
                </w:p>
              </w:tc>
              <w:tc>
                <w:tcPr>
                  <w:tcW w:w="597" w:type="pct"/>
                  <w:vMerge w:val="restart"/>
                  <w:tcBorders>
                    <w:top w:val="single" w:color="000000" w:sz="8" w:space="0"/>
                    <w:left w:val="single" w:color="000000" w:sz="8" w:space="0"/>
                    <w:right w:val="single" w:color="000000" w:sz="8" w:space="0"/>
                  </w:tcBorders>
                  <w:vAlign w:val="center"/>
                </w:tcPr>
                <w:p>
                  <w:pPr>
                    <w:pStyle w:val="66"/>
                  </w:pPr>
                  <w:r>
                    <w:rPr>
                      <w:rFonts w:hint="eastAsia" w:ascii="宋体" w:hAnsi="宋体" w:cs="宋体"/>
                      <w:lang w:val="en-US" w:eastAsia="zh-CN"/>
                    </w:rPr>
                    <w:t>合理布局；建筑隔声吸声设计；设备隔声消声、减震</w:t>
                  </w:r>
                </w:p>
              </w:tc>
              <w:tc>
                <w:tcPr>
                  <w:tcW w:w="67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2</w:t>
                  </w:r>
                  <w:r>
                    <w:rPr>
                      <w:lang w:val="en-US" w:eastAsia="zh-CN"/>
                    </w:rPr>
                    <w:t>0</w:t>
                  </w:r>
                </w:p>
              </w:tc>
              <w:tc>
                <w:tcPr>
                  <w:tcW w:w="603"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5</w:t>
                  </w:r>
                  <w:r>
                    <w:rPr>
                      <w:lang w:val="en-US" w:eastAsia="zh-CN"/>
                    </w:rPr>
                    <w:t>0</w:t>
                  </w:r>
                </w:p>
              </w:tc>
              <w:tc>
                <w:tcPr>
                  <w:tcW w:w="498"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1460</w:t>
                  </w:r>
                </w:p>
              </w:tc>
            </w:tr>
            <w:tr>
              <w:tblPrEx>
                <w:tblCellMar>
                  <w:top w:w="0" w:type="dxa"/>
                  <w:left w:w="108" w:type="dxa"/>
                  <w:bottom w:w="0" w:type="dxa"/>
                  <w:right w:w="108" w:type="dxa"/>
                </w:tblCellMar>
              </w:tblPrEx>
              <w:trPr>
                <w:trHeight w:val="369" w:hRule="atLeast"/>
              </w:trPr>
              <w:tc>
                <w:tcPr>
                  <w:tcW w:w="784" w:type="pct"/>
                  <w:tcBorders>
                    <w:top w:val="single" w:color="000000" w:sz="8" w:space="0"/>
                    <w:left w:val="single" w:color="000000" w:sz="8" w:space="0"/>
                    <w:bottom w:val="single" w:color="000000" w:sz="8" w:space="0"/>
                    <w:right w:val="single" w:color="000000" w:sz="8" w:space="0"/>
                  </w:tcBorders>
                  <w:vAlign w:val="center"/>
                </w:tcPr>
                <w:p>
                  <w:pPr>
                    <w:pStyle w:val="66"/>
                    <w:rPr>
                      <w:lang w:eastAsia="zh-CN"/>
                    </w:rPr>
                  </w:pPr>
                  <w:r>
                    <w:rPr>
                      <w:rFonts w:hint="eastAsia"/>
                    </w:rPr>
                    <w:t>高压灭菌锅</w:t>
                  </w:r>
                  <w:r>
                    <w:rPr>
                      <w:rFonts w:hint="eastAsia"/>
                      <w:lang w:eastAsia="zh-CN"/>
                    </w:rPr>
                    <w:t>间</w:t>
                  </w:r>
                </w:p>
              </w:tc>
              <w:tc>
                <w:tcPr>
                  <w:tcW w:w="571"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1</w:t>
                  </w:r>
                </w:p>
              </w:tc>
              <w:tc>
                <w:tcPr>
                  <w:tcW w:w="46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间歇</w:t>
                  </w:r>
                </w:p>
              </w:tc>
              <w:tc>
                <w:tcPr>
                  <w:tcW w:w="809" w:type="pct"/>
                  <w:tcBorders>
                    <w:top w:val="single" w:color="000000" w:sz="8" w:space="0"/>
                    <w:left w:val="single" w:color="000000" w:sz="8" w:space="0"/>
                    <w:bottom w:val="single" w:color="000000" w:sz="8" w:space="0"/>
                    <w:right w:val="single" w:color="000000" w:sz="8" w:space="0"/>
                  </w:tcBorders>
                  <w:vAlign w:val="center"/>
                </w:tcPr>
                <w:p>
                  <w:pPr>
                    <w:pStyle w:val="66"/>
                  </w:pPr>
                  <w:r>
                    <w:t>70</w:t>
                  </w:r>
                </w:p>
              </w:tc>
              <w:tc>
                <w:tcPr>
                  <w:tcW w:w="597" w:type="pct"/>
                  <w:vMerge w:val="continue"/>
                  <w:tcBorders>
                    <w:left w:val="single" w:color="000000" w:sz="8" w:space="0"/>
                    <w:right w:val="single" w:color="000000" w:sz="8" w:space="0"/>
                  </w:tcBorders>
                  <w:vAlign w:val="center"/>
                </w:tcPr>
                <w:p>
                  <w:pPr>
                    <w:pStyle w:val="66"/>
                  </w:pPr>
                </w:p>
              </w:tc>
              <w:tc>
                <w:tcPr>
                  <w:tcW w:w="67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2</w:t>
                  </w:r>
                  <w:r>
                    <w:rPr>
                      <w:lang w:val="en-US" w:eastAsia="zh-CN"/>
                    </w:rPr>
                    <w:t>0</w:t>
                  </w:r>
                </w:p>
              </w:tc>
              <w:tc>
                <w:tcPr>
                  <w:tcW w:w="603"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5</w:t>
                  </w:r>
                  <w:r>
                    <w:rPr>
                      <w:lang w:val="en-US" w:eastAsia="zh-CN"/>
                    </w:rPr>
                    <w:t>0</w:t>
                  </w:r>
                </w:p>
              </w:tc>
              <w:tc>
                <w:tcPr>
                  <w:tcW w:w="498"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1460</w:t>
                  </w:r>
                </w:p>
              </w:tc>
            </w:tr>
            <w:tr>
              <w:trPr>
                <w:trHeight w:val="369" w:hRule="atLeast"/>
              </w:trPr>
              <w:tc>
                <w:tcPr>
                  <w:tcW w:w="78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小型高速离心机房</w:t>
                  </w:r>
                </w:p>
              </w:tc>
              <w:tc>
                <w:tcPr>
                  <w:tcW w:w="571"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6</w:t>
                  </w:r>
                </w:p>
              </w:tc>
              <w:tc>
                <w:tcPr>
                  <w:tcW w:w="46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间歇</w:t>
                  </w:r>
                </w:p>
              </w:tc>
              <w:tc>
                <w:tcPr>
                  <w:tcW w:w="809" w:type="pct"/>
                  <w:tcBorders>
                    <w:top w:val="single" w:color="000000" w:sz="8" w:space="0"/>
                    <w:left w:val="single" w:color="000000" w:sz="8" w:space="0"/>
                    <w:bottom w:val="single" w:color="000000" w:sz="8" w:space="0"/>
                    <w:right w:val="single" w:color="000000" w:sz="8" w:space="0"/>
                  </w:tcBorders>
                  <w:vAlign w:val="center"/>
                </w:tcPr>
                <w:p>
                  <w:pPr>
                    <w:pStyle w:val="66"/>
                  </w:pPr>
                  <w:r>
                    <w:t>84.54</w:t>
                  </w:r>
                </w:p>
              </w:tc>
              <w:tc>
                <w:tcPr>
                  <w:tcW w:w="597" w:type="pct"/>
                  <w:vMerge w:val="continue"/>
                  <w:tcBorders>
                    <w:left w:val="single" w:color="000000" w:sz="8" w:space="0"/>
                    <w:right w:val="single" w:color="000000" w:sz="8" w:space="0"/>
                  </w:tcBorders>
                  <w:vAlign w:val="center"/>
                </w:tcPr>
                <w:p>
                  <w:pPr>
                    <w:pStyle w:val="66"/>
                  </w:pPr>
                </w:p>
              </w:tc>
              <w:tc>
                <w:tcPr>
                  <w:tcW w:w="67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2</w:t>
                  </w:r>
                  <w:r>
                    <w:rPr>
                      <w:lang w:val="en-US" w:eastAsia="zh-CN"/>
                    </w:rPr>
                    <w:t>0</w:t>
                  </w:r>
                </w:p>
              </w:tc>
              <w:tc>
                <w:tcPr>
                  <w:tcW w:w="603"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64.84</w:t>
                  </w:r>
                </w:p>
              </w:tc>
              <w:tc>
                <w:tcPr>
                  <w:tcW w:w="498"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1460</w:t>
                  </w:r>
                </w:p>
              </w:tc>
            </w:tr>
            <w:tr>
              <w:tblPrEx>
                <w:tblCellMar>
                  <w:top w:w="0" w:type="dxa"/>
                  <w:left w:w="108" w:type="dxa"/>
                  <w:bottom w:w="0" w:type="dxa"/>
                  <w:right w:w="108" w:type="dxa"/>
                </w:tblCellMar>
              </w:tblPrEx>
              <w:trPr>
                <w:trHeight w:val="369" w:hRule="atLeast"/>
              </w:trPr>
              <w:tc>
                <w:tcPr>
                  <w:tcW w:w="78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台式高速离心机</w:t>
                  </w:r>
                </w:p>
              </w:tc>
              <w:tc>
                <w:tcPr>
                  <w:tcW w:w="571"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1</w:t>
                  </w:r>
                </w:p>
              </w:tc>
              <w:tc>
                <w:tcPr>
                  <w:tcW w:w="46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间歇</w:t>
                  </w:r>
                </w:p>
              </w:tc>
              <w:tc>
                <w:tcPr>
                  <w:tcW w:w="809" w:type="pct"/>
                  <w:tcBorders>
                    <w:top w:val="single" w:color="000000" w:sz="8" w:space="0"/>
                    <w:left w:val="single" w:color="000000" w:sz="8" w:space="0"/>
                    <w:bottom w:val="single" w:color="000000" w:sz="8" w:space="0"/>
                    <w:right w:val="single" w:color="000000" w:sz="8" w:space="0"/>
                  </w:tcBorders>
                  <w:vAlign w:val="center"/>
                </w:tcPr>
                <w:p>
                  <w:pPr>
                    <w:pStyle w:val="66"/>
                  </w:pPr>
                  <w:r>
                    <w:t>75</w:t>
                  </w:r>
                </w:p>
              </w:tc>
              <w:tc>
                <w:tcPr>
                  <w:tcW w:w="597" w:type="pct"/>
                  <w:vMerge w:val="continue"/>
                  <w:tcBorders>
                    <w:left w:val="single" w:color="000000" w:sz="8" w:space="0"/>
                    <w:right w:val="single" w:color="000000" w:sz="8" w:space="0"/>
                  </w:tcBorders>
                  <w:vAlign w:val="center"/>
                </w:tcPr>
                <w:p>
                  <w:pPr>
                    <w:pStyle w:val="66"/>
                  </w:pPr>
                </w:p>
              </w:tc>
              <w:tc>
                <w:tcPr>
                  <w:tcW w:w="67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2</w:t>
                  </w:r>
                  <w:r>
                    <w:rPr>
                      <w:lang w:val="en-US" w:eastAsia="zh-CN"/>
                    </w:rPr>
                    <w:t>0</w:t>
                  </w:r>
                </w:p>
              </w:tc>
              <w:tc>
                <w:tcPr>
                  <w:tcW w:w="603"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5</w:t>
                  </w:r>
                  <w:r>
                    <w:rPr>
                      <w:lang w:val="en-US" w:eastAsia="zh-CN"/>
                    </w:rPr>
                    <w:t>5</w:t>
                  </w:r>
                </w:p>
              </w:tc>
              <w:tc>
                <w:tcPr>
                  <w:tcW w:w="498"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1460</w:t>
                  </w:r>
                </w:p>
              </w:tc>
            </w:tr>
            <w:tr>
              <w:trPr>
                <w:trHeight w:val="369" w:hRule="atLeast"/>
              </w:trPr>
              <w:tc>
                <w:tcPr>
                  <w:tcW w:w="78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振动器</w:t>
                  </w:r>
                </w:p>
              </w:tc>
              <w:tc>
                <w:tcPr>
                  <w:tcW w:w="571"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1</w:t>
                  </w:r>
                </w:p>
              </w:tc>
              <w:tc>
                <w:tcPr>
                  <w:tcW w:w="46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rPr>
                    <w:t>间歇</w:t>
                  </w:r>
                </w:p>
              </w:tc>
              <w:tc>
                <w:tcPr>
                  <w:tcW w:w="809" w:type="pct"/>
                  <w:tcBorders>
                    <w:top w:val="single" w:color="000000" w:sz="8" w:space="0"/>
                    <w:left w:val="single" w:color="000000" w:sz="8" w:space="0"/>
                    <w:bottom w:val="single" w:color="000000" w:sz="8" w:space="0"/>
                    <w:right w:val="single" w:color="000000" w:sz="8" w:space="0"/>
                  </w:tcBorders>
                  <w:vAlign w:val="center"/>
                </w:tcPr>
                <w:p>
                  <w:pPr>
                    <w:pStyle w:val="66"/>
                  </w:pPr>
                  <w:r>
                    <w:t>70</w:t>
                  </w:r>
                </w:p>
              </w:tc>
              <w:tc>
                <w:tcPr>
                  <w:tcW w:w="597" w:type="pct"/>
                  <w:vMerge w:val="continue"/>
                  <w:tcBorders>
                    <w:left w:val="single" w:color="000000" w:sz="8" w:space="0"/>
                    <w:right w:val="single" w:color="000000" w:sz="8" w:space="0"/>
                  </w:tcBorders>
                  <w:vAlign w:val="center"/>
                </w:tcPr>
                <w:p>
                  <w:pPr>
                    <w:pStyle w:val="66"/>
                  </w:pPr>
                </w:p>
              </w:tc>
              <w:tc>
                <w:tcPr>
                  <w:tcW w:w="67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2</w:t>
                  </w:r>
                  <w:r>
                    <w:rPr>
                      <w:lang w:val="en-US" w:eastAsia="zh-CN"/>
                    </w:rPr>
                    <w:t>0</w:t>
                  </w:r>
                </w:p>
              </w:tc>
              <w:tc>
                <w:tcPr>
                  <w:tcW w:w="603"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5</w:t>
                  </w:r>
                  <w:r>
                    <w:rPr>
                      <w:lang w:val="en-US" w:eastAsia="zh-CN"/>
                    </w:rPr>
                    <w:t>0</w:t>
                  </w:r>
                </w:p>
              </w:tc>
              <w:tc>
                <w:tcPr>
                  <w:tcW w:w="498"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1460</w:t>
                  </w:r>
                </w:p>
              </w:tc>
            </w:tr>
            <w:tr>
              <w:trPr>
                <w:trHeight w:val="369" w:hRule="atLeast"/>
              </w:trPr>
              <w:tc>
                <w:tcPr>
                  <w:tcW w:w="78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空调机房</w:t>
                  </w:r>
                </w:p>
              </w:tc>
              <w:tc>
                <w:tcPr>
                  <w:tcW w:w="571"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8</w:t>
                  </w:r>
                </w:p>
              </w:tc>
              <w:tc>
                <w:tcPr>
                  <w:tcW w:w="46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lang w:eastAsia="zh-CN"/>
                    </w:rPr>
                    <w:t>频发</w:t>
                  </w:r>
                </w:p>
              </w:tc>
              <w:tc>
                <w:tcPr>
                  <w:tcW w:w="809" w:type="pct"/>
                  <w:tcBorders>
                    <w:top w:val="single" w:color="000000" w:sz="8" w:space="0"/>
                    <w:left w:val="single" w:color="000000" w:sz="8" w:space="0"/>
                    <w:bottom w:val="single" w:color="000000" w:sz="8" w:space="0"/>
                    <w:right w:val="single" w:color="000000" w:sz="8" w:space="0"/>
                  </w:tcBorders>
                  <w:vAlign w:val="center"/>
                </w:tcPr>
                <w:p>
                  <w:pPr>
                    <w:pStyle w:val="66"/>
                    <w:rPr>
                      <w:lang w:eastAsia="zh-CN"/>
                    </w:rPr>
                  </w:pPr>
                  <w:r>
                    <w:rPr>
                      <w:lang w:eastAsia="zh-CN"/>
                    </w:rPr>
                    <w:t>89.54</w:t>
                  </w:r>
                </w:p>
              </w:tc>
              <w:tc>
                <w:tcPr>
                  <w:tcW w:w="597" w:type="pct"/>
                  <w:vMerge w:val="continue"/>
                  <w:tcBorders>
                    <w:left w:val="single" w:color="000000" w:sz="8" w:space="0"/>
                    <w:right w:val="single" w:color="000000" w:sz="8" w:space="0"/>
                  </w:tcBorders>
                  <w:vAlign w:val="center"/>
                </w:tcPr>
                <w:p>
                  <w:pPr>
                    <w:pStyle w:val="66"/>
                  </w:pPr>
                </w:p>
              </w:tc>
              <w:tc>
                <w:tcPr>
                  <w:tcW w:w="67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2</w:t>
                  </w:r>
                  <w:r>
                    <w:rPr>
                      <w:lang w:val="en-US" w:eastAsia="zh-CN"/>
                    </w:rPr>
                    <w:t>0</w:t>
                  </w:r>
                </w:p>
              </w:tc>
              <w:tc>
                <w:tcPr>
                  <w:tcW w:w="603"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69.54</w:t>
                  </w:r>
                </w:p>
              </w:tc>
              <w:tc>
                <w:tcPr>
                  <w:tcW w:w="498"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2</w:t>
                  </w:r>
                  <w:r>
                    <w:rPr>
                      <w:lang w:val="en-US" w:eastAsia="zh-CN"/>
                    </w:rPr>
                    <w:t>920</w:t>
                  </w:r>
                </w:p>
              </w:tc>
            </w:tr>
            <w:tr>
              <w:tblPrEx>
                <w:tblCellMar>
                  <w:top w:w="0" w:type="dxa"/>
                  <w:left w:w="108" w:type="dxa"/>
                  <w:bottom w:w="0" w:type="dxa"/>
                  <w:right w:w="108" w:type="dxa"/>
                </w:tblCellMar>
              </w:tblPrEx>
              <w:trPr>
                <w:trHeight w:val="369" w:hRule="atLeast"/>
              </w:trPr>
              <w:tc>
                <w:tcPr>
                  <w:tcW w:w="78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通风设备</w:t>
                  </w:r>
                </w:p>
              </w:tc>
              <w:tc>
                <w:tcPr>
                  <w:tcW w:w="571"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8</w:t>
                  </w:r>
                </w:p>
              </w:tc>
              <w:tc>
                <w:tcPr>
                  <w:tcW w:w="464" w:type="pct"/>
                  <w:tcBorders>
                    <w:top w:val="single" w:color="000000" w:sz="8" w:space="0"/>
                    <w:left w:val="single" w:color="000000" w:sz="8" w:space="0"/>
                    <w:bottom w:val="single" w:color="000000" w:sz="8" w:space="0"/>
                    <w:right w:val="single" w:color="000000" w:sz="8" w:space="0"/>
                  </w:tcBorders>
                  <w:vAlign w:val="center"/>
                </w:tcPr>
                <w:p>
                  <w:pPr>
                    <w:pStyle w:val="66"/>
                  </w:pPr>
                  <w:r>
                    <w:rPr>
                      <w:rFonts w:hint="eastAsia"/>
                      <w:lang w:eastAsia="zh-CN"/>
                    </w:rPr>
                    <w:t>频发</w:t>
                  </w:r>
                </w:p>
              </w:tc>
              <w:tc>
                <w:tcPr>
                  <w:tcW w:w="809" w:type="pct"/>
                  <w:tcBorders>
                    <w:top w:val="single" w:color="000000" w:sz="8" w:space="0"/>
                    <w:left w:val="single" w:color="000000" w:sz="8" w:space="0"/>
                    <w:bottom w:val="single" w:color="000000" w:sz="8" w:space="0"/>
                    <w:right w:val="single" w:color="000000" w:sz="8" w:space="0"/>
                  </w:tcBorders>
                  <w:vAlign w:val="center"/>
                </w:tcPr>
                <w:p>
                  <w:pPr>
                    <w:pStyle w:val="66"/>
                    <w:rPr>
                      <w:lang w:eastAsia="zh-CN"/>
                    </w:rPr>
                  </w:pPr>
                  <w:r>
                    <w:rPr>
                      <w:lang w:eastAsia="zh-CN"/>
                    </w:rPr>
                    <w:t>84.54</w:t>
                  </w:r>
                </w:p>
              </w:tc>
              <w:tc>
                <w:tcPr>
                  <w:tcW w:w="597" w:type="pct"/>
                  <w:vMerge w:val="continue"/>
                  <w:tcBorders>
                    <w:left w:val="single" w:color="000000" w:sz="8" w:space="0"/>
                    <w:right w:val="single" w:color="000000" w:sz="8" w:space="0"/>
                  </w:tcBorders>
                  <w:vAlign w:val="center"/>
                </w:tcPr>
                <w:p>
                  <w:pPr>
                    <w:pStyle w:val="66"/>
                  </w:pPr>
                </w:p>
              </w:tc>
              <w:tc>
                <w:tcPr>
                  <w:tcW w:w="674"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2</w:t>
                  </w:r>
                  <w:r>
                    <w:rPr>
                      <w:lang w:val="en-US" w:eastAsia="zh-CN"/>
                    </w:rPr>
                    <w:t>0</w:t>
                  </w:r>
                </w:p>
              </w:tc>
              <w:tc>
                <w:tcPr>
                  <w:tcW w:w="603"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rFonts w:hint="eastAsia"/>
                      <w:lang w:val="en-US" w:eastAsia="zh-CN"/>
                    </w:rPr>
                    <w:t>6</w:t>
                  </w:r>
                  <w:r>
                    <w:rPr>
                      <w:lang w:val="en-US" w:eastAsia="zh-CN"/>
                    </w:rPr>
                    <w:t>4.54</w:t>
                  </w:r>
                </w:p>
              </w:tc>
              <w:tc>
                <w:tcPr>
                  <w:tcW w:w="498" w:type="pct"/>
                  <w:tcBorders>
                    <w:top w:val="single" w:color="000000" w:sz="8" w:space="0"/>
                    <w:left w:val="single" w:color="000000" w:sz="8" w:space="0"/>
                    <w:bottom w:val="single" w:color="000000" w:sz="8" w:space="0"/>
                    <w:right w:val="single" w:color="000000" w:sz="8" w:space="0"/>
                  </w:tcBorders>
                  <w:vAlign w:val="center"/>
                </w:tcPr>
                <w:p>
                  <w:pPr>
                    <w:pStyle w:val="66"/>
                    <w:rPr>
                      <w:lang w:val="en-US" w:eastAsia="zh-CN"/>
                    </w:rPr>
                  </w:pPr>
                  <w:r>
                    <w:rPr>
                      <w:lang w:val="en-US" w:eastAsia="zh-CN"/>
                    </w:rPr>
                    <w:t>2920</w:t>
                  </w:r>
                </w:p>
              </w:tc>
            </w:tr>
            <w:tr>
              <w:trPr>
                <w:trHeight w:val="369" w:hRule="atLeast"/>
              </w:trPr>
              <w:tc>
                <w:tcPr>
                  <w:tcW w:w="5000" w:type="pct"/>
                  <w:gridSpan w:val="8"/>
                  <w:tcBorders>
                    <w:top w:val="single" w:color="000000" w:sz="8" w:space="0"/>
                    <w:left w:val="single" w:color="000000" w:sz="8" w:space="0"/>
                    <w:bottom w:val="single" w:color="000000" w:sz="8" w:space="0"/>
                    <w:right w:val="single" w:color="000000" w:sz="8" w:space="0"/>
                  </w:tcBorders>
                  <w:vAlign w:val="center"/>
                </w:tcPr>
                <w:p>
                  <w:pPr>
                    <w:pStyle w:val="66"/>
                    <w:jc w:val="left"/>
                  </w:pPr>
                  <w:r>
                    <w:rPr>
                      <w:rFonts w:hint="eastAsia"/>
                    </w:rPr>
                    <w:t>注：</w:t>
                  </w:r>
                  <w:r>
                    <w:rPr>
                      <w:rFonts w:hint="eastAsia"/>
                      <w:lang w:eastAsia="zh-CN"/>
                    </w:rPr>
                    <w:t>1、</w:t>
                  </w:r>
                  <w:r>
                    <w:rPr>
                      <w:rFonts w:hint="eastAsia"/>
                    </w:rPr>
                    <w:t>根据《环境噪声控制》（哈尔滨工业大学出版社，刘惠玲主编），设备采取防振装置、基础固定等措施可降低噪声10~35dB（A）。考虑门窗面积和开门开窗对隔声的负面影响，项目</w:t>
                  </w:r>
                  <w:r>
                    <w:rPr>
                      <w:rFonts w:hint="eastAsia"/>
                      <w:lang w:val="en-US" w:eastAsia="zh-CN"/>
                    </w:rPr>
                    <w:t>实验室墙体</w:t>
                  </w:r>
                  <w:r>
                    <w:rPr>
                      <w:rFonts w:hint="eastAsia"/>
                    </w:rPr>
                    <w:t>隔声量以20dB（A）计；本项目采取加装减振基础、</w:t>
                  </w:r>
                  <w:r>
                    <w:rPr>
                      <w:rFonts w:hint="eastAsia"/>
                      <w:lang w:val="en-US" w:eastAsia="zh-CN"/>
                    </w:rPr>
                    <w:t>墙体</w:t>
                  </w:r>
                  <w:r>
                    <w:rPr>
                      <w:rFonts w:hint="eastAsia"/>
                    </w:rPr>
                    <w:t>隔声等措施的噪声削减量以</w:t>
                  </w:r>
                  <w:r>
                    <w:rPr>
                      <w:lang w:val="en-US" w:eastAsia="zh-CN"/>
                    </w:rPr>
                    <w:t>20</w:t>
                  </w:r>
                  <w:r>
                    <w:rPr>
                      <w:rFonts w:hint="eastAsia"/>
                    </w:rPr>
                    <w:t>dB（A）计。</w:t>
                  </w:r>
                </w:p>
                <w:p>
                  <w:pPr>
                    <w:pStyle w:val="56"/>
                    <w:jc w:val="both"/>
                    <w:rPr>
                      <w:lang w:val="en-US"/>
                    </w:rPr>
                  </w:pPr>
                  <w:r>
                    <w:rPr>
                      <w:lang w:val="en-US"/>
                    </w:rPr>
                    <w:t>2</w:t>
                  </w:r>
                  <w:r>
                    <w:rPr>
                      <w:rFonts w:hint="eastAsia"/>
                      <w:lang w:val="en-US" w:eastAsia="zh-CN"/>
                    </w:rPr>
                    <w:t>、</w:t>
                  </w:r>
                  <w:r>
                    <w:rPr>
                      <w:rFonts w:hint="eastAsia"/>
                      <w:lang w:val="en-US"/>
                    </w:rPr>
                    <w:t>*该声压级是位于同一机房、地点的噪声源进行叠加后的总声压级。</w:t>
                  </w:r>
                </w:p>
                <w:p>
                  <w:pPr>
                    <w:pStyle w:val="56"/>
                    <w:jc w:val="left"/>
                    <w:rPr>
                      <w:lang w:eastAsia="zh-CN"/>
                    </w:rPr>
                  </w:pPr>
                  <w:r>
                    <w:rPr>
                      <w:rFonts w:hint="eastAsia"/>
                      <w:lang w:eastAsia="zh-CN"/>
                    </w:rPr>
                    <w:t>3、项目部分设备为间歇性使用，其工作时间取年工作时间的一半。</w:t>
                  </w:r>
                </w:p>
              </w:tc>
            </w:tr>
          </w:tbl>
          <w:p>
            <w:pPr>
              <w:pStyle w:val="56"/>
            </w:pPr>
          </w:p>
          <w:p>
            <w:pPr>
              <w:pStyle w:val="5"/>
              <w:rPr>
                <w:lang w:eastAsia="zh-CN"/>
              </w:rPr>
            </w:pPr>
            <w:r>
              <w:rPr>
                <w:rFonts w:hint="eastAsia"/>
                <w:lang w:eastAsia="zh-CN"/>
              </w:rPr>
              <w:t>噪声达标性分析</w:t>
            </w:r>
          </w:p>
          <w:p>
            <w:pPr>
              <w:ind w:firstLine="480"/>
              <w:rPr>
                <w:lang w:val="zh-CN"/>
              </w:rPr>
            </w:pPr>
            <w:r>
              <w:rPr>
                <w:rFonts w:hint="eastAsia"/>
                <w:lang w:val="zh-CN"/>
              </w:rPr>
              <w:t>根据《环境影响评价技术导则 声环境》（HJ2.4-2021）对室内声源的预测方法，声源位于室内，室内声源可采用等效室外声源声功率级法进行计算。</w:t>
            </w:r>
          </w:p>
          <w:p>
            <w:pPr>
              <w:ind w:firstLine="480"/>
              <w:rPr>
                <w:lang w:val="zh-CN"/>
              </w:rPr>
            </w:pPr>
            <w:r>
              <w:rPr>
                <w:rFonts w:hint="eastAsia"/>
                <w:lang w:val="zh-CN"/>
              </w:rPr>
              <w:t>（1）计算出所有室内声源在围护结构处产生的i倍频带叠加声压级：</w:t>
            </w:r>
          </w:p>
          <w:p>
            <w:pPr>
              <w:ind w:firstLine="0" w:firstLineChars="0"/>
              <w:jc w:val="center"/>
              <w:rPr>
                <w:lang w:val="zh-CN"/>
              </w:rPr>
            </w:pPr>
            <w:r>
              <w:drawing>
                <wp:inline distT="0" distB="0" distL="0" distR="0">
                  <wp:extent cx="2519045" cy="7505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0" cstate="email"/>
                          <a:srcRect/>
                          <a:stretch>
                            <a:fillRect/>
                          </a:stretch>
                        </pic:blipFill>
                        <pic:spPr>
                          <a:xfrm>
                            <a:off x="0" y="0"/>
                            <a:ext cx="2519045" cy="750570"/>
                          </a:xfrm>
                          <a:prstGeom prst="rect">
                            <a:avLst/>
                          </a:prstGeom>
                          <a:noFill/>
                          <a:ln>
                            <a:noFill/>
                          </a:ln>
                          <a:effectLst/>
                        </pic:spPr>
                      </pic:pic>
                    </a:graphicData>
                  </a:graphic>
                </wp:inline>
              </w:drawing>
            </w:r>
          </w:p>
          <w:p>
            <w:pPr>
              <w:ind w:firstLine="480"/>
              <w:rPr>
                <w:lang w:val="zh-CN"/>
              </w:rPr>
            </w:pPr>
            <w:r>
              <w:rPr>
                <w:rFonts w:hint="eastAsia"/>
                <w:lang w:val="zh-CN"/>
              </w:rPr>
              <w:t>式中：</w:t>
            </w:r>
          </w:p>
          <w:p>
            <w:pPr>
              <w:ind w:firstLine="480"/>
              <w:rPr>
                <w:lang w:val="zh-CN"/>
              </w:rPr>
            </w:pPr>
            <w:r>
              <w:rPr>
                <w:lang w:val="zh-CN"/>
              </w:rPr>
              <w:t>L</w:t>
            </w:r>
            <w:r>
              <w:rPr>
                <w:vertAlign w:val="subscript"/>
                <w:lang w:val="zh-CN"/>
              </w:rPr>
              <w:t>p1i</w:t>
            </w:r>
            <w:r>
              <w:rPr>
                <w:rFonts w:hint="eastAsia"/>
                <w:lang w:val="zh-CN"/>
              </w:rPr>
              <w:t>（</w:t>
            </w:r>
            <w:r>
              <w:rPr>
                <w:lang w:val="zh-CN"/>
              </w:rPr>
              <w:t>T</w:t>
            </w:r>
            <w:r>
              <w:rPr>
                <w:rFonts w:hint="eastAsia"/>
                <w:lang w:val="zh-CN"/>
              </w:rPr>
              <w:t>）——靠近围护结构处室内</w:t>
            </w:r>
            <w:r>
              <w:rPr>
                <w:lang w:val="zh-CN"/>
              </w:rPr>
              <w:t>N</w:t>
            </w:r>
            <w:r>
              <w:rPr>
                <w:rFonts w:hint="eastAsia"/>
                <w:lang w:val="zh-CN"/>
              </w:rPr>
              <w:t>个声源</w:t>
            </w:r>
            <w:r>
              <w:rPr>
                <w:lang w:val="zh-CN"/>
              </w:rPr>
              <w:t>i</w:t>
            </w:r>
            <w:r>
              <w:rPr>
                <w:rFonts w:hint="eastAsia"/>
                <w:lang w:val="zh-CN"/>
              </w:rPr>
              <w:t>倍频带的叠加声压级，</w:t>
            </w:r>
            <w:r>
              <w:rPr>
                <w:lang w:val="zh-CN"/>
              </w:rPr>
              <w:t>dB</w:t>
            </w:r>
            <w:r>
              <w:rPr>
                <w:rFonts w:hint="eastAsia"/>
                <w:lang w:val="zh-CN"/>
              </w:rPr>
              <w:t>；</w:t>
            </w:r>
          </w:p>
          <w:p>
            <w:pPr>
              <w:ind w:firstLine="480"/>
              <w:rPr>
                <w:lang w:val="zh-CN"/>
              </w:rPr>
            </w:pPr>
            <w:r>
              <w:rPr>
                <w:rFonts w:hint="eastAsia"/>
                <w:lang w:val="zh-CN"/>
              </w:rPr>
              <w:t>L</w:t>
            </w:r>
            <w:r>
              <w:rPr>
                <w:rFonts w:hint="eastAsia"/>
                <w:vertAlign w:val="subscript"/>
                <w:lang w:val="zh-CN"/>
              </w:rPr>
              <w:t>p1ij</w:t>
            </w:r>
            <w:r>
              <w:rPr>
                <w:rFonts w:hint="eastAsia"/>
                <w:lang w:val="zh-CN"/>
              </w:rPr>
              <w:t>（T）——室内j声源i倍频带的声压级，dB；</w:t>
            </w:r>
          </w:p>
          <w:p>
            <w:pPr>
              <w:ind w:firstLine="480"/>
              <w:rPr>
                <w:lang w:val="zh-CN"/>
              </w:rPr>
            </w:pPr>
            <w:r>
              <w:rPr>
                <w:rFonts w:hint="eastAsia"/>
                <w:lang w:val="zh-CN"/>
              </w:rPr>
              <w:t>N——室内声源总数。</w:t>
            </w:r>
          </w:p>
          <w:p>
            <w:pPr>
              <w:ind w:firstLine="480"/>
              <w:rPr>
                <w:lang w:val="zh-CN"/>
              </w:rPr>
            </w:pPr>
            <w:r>
              <w:rPr>
                <w:rFonts w:hint="eastAsia"/>
                <w:lang w:val="zh-CN"/>
              </w:rPr>
              <w:t>（2）预测值计算采用点声源的半自由声场几何发散衰减公式：</w:t>
            </w:r>
          </w:p>
          <w:p>
            <w:pPr>
              <w:pStyle w:val="56"/>
            </w:pPr>
            <w:r>
              <w:drawing>
                <wp:inline distT="0" distB="0" distL="0" distR="0">
                  <wp:extent cx="2103120" cy="3657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1" cstate="email"/>
                          <a:srcRect/>
                          <a:stretch>
                            <a:fillRect/>
                          </a:stretch>
                        </pic:blipFill>
                        <pic:spPr>
                          <a:xfrm>
                            <a:off x="0" y="0"/>
                            <a:ext cx="2103120" cy="365760"/>
                          </a:xfrm>
                          <a:prstGeom prst="rect">
                            <a:avLst/>
                          </a:prstGeom>
                          <a:noFill/>
                          <a:ln>
                            <a:noFill/>
                          </a:ln>
                          <a:effectLst/>
                        </pic:spPr>
                      </pic:pic>
                    </a:graphicData>
                  </a:graphic>
                </wp:inline>
              </w:drawing>
            </w:r>
          </w:p>
          <w:p>
            <w:pPr>
              <w:ind w:firstLine="480"/>
              <w:rPr>
                <w:lang w:val="zh-CN"/>
              </w:rPr>
            </w:pPr>
            <w:r>
              <w:rPr>
                <w:rFonts w:hint="eastAsia"/>
                <w:lang w:val="zh-CN"/>
              </w:rPr>
              <w:t>式中：L</w:t>
            </w:r>
            <w:r>
              <w:rPr>
                <w:rFonts w:hint="eastAsia"/>
                <w:vertAlign w:val="subscript"/>
                <w:lang w:val="zh-CN"/>
              </w:rPr>
              <w:t>p</w:t>
            </w:r>
            <w:r>
              <w:rPr>
                <w:rFonts w:hint="eastAsia"/>
                <w:lang w:val="zh-CN"/>
              </w:rPr>
              <w:t>(r)——预测点处声压级，dB；</w:t>
            </w:r>
          </w:p>
          <w:p>
            <w:pPr>
              <w:ind w:firstLine="480"/>
              <w:rPr>
                <w:lang w:val="zh-CN"/>
              </w:rPr>
            </w:pPr>
            <w:r>
              <w:rPr>
                <w:rFonts w:hint="eastAsia"/>
                <w:lang w:val="zh-CN"/>
              </w:rPr>
              <w:t>Lw——由点声源产生的倍频带声功率级，dB；</w:t>
            </w:r>
          </w:p>
          <w:p>
            <w:pPr>
              <w:ind w:firstLine="480"/>
              <w:rPr>
                <w:lang w:val="zh-CN"/>
              </w:rPr>
            </w:pPr>
            <w:r>
              <w:rPr>
                <w:rFonts w:hint="eastAsia"/>
                <w:lang w:val="zh-CN"/>
              </w:rPr>
              <w:t>r——预测点距声源的距离。</w:t>
            </w:r>
          </w:p>
          <w:p>
            <w:pPr>
              <w:ind w:firstLine="480"/>
              <w:rPr>
                <w:lang w:val="zh-CN"/>
              </w:rPr>
            </w:pPr>
            <w:r>
              <w:rPr>
                <w:rFonts w:hint="eastAsia"/>
                <w:lang w:val="zh-CN"/>
              </w:rPr>
              <w:t>（3）预测点的预测等效声级（Leq）计算：</w:t>
            </w:r>
          </w:p>
          <w:p>
            <w:pPr>
              <w:pStyle w:val="56"/>
            </w:pPr>
            <w:r>
              <w:drawing>
                <wp:inline distT="0" distB="0" distL="0" distR="0">
                  <wp:extent cx="2605405" cy="543560"/>
                  <wp:effectExtent l="0" t="0" r="444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2" cstate="email"/>
                          <a:srcRect/>
                          <a:stretch>
                            <a:fillRect/>
                          </a:stretch>
                        </pic:blipFill>
                        <pic:spPr>
                          <a:xfrm>
                            <a:off x="0" y="0"/>
                            <a:ext cx="2605405" cy="543560"/>
                          </a:xfrm>
                          <a:prstGeom prst="rect">
                            <a:avLst/>
                          </a:prstGeom>
                          <a:noFill/>
                          <a:ln>
                            <a:noFill/>
                          </a:ln>
                          <a:effectLst/>
                        </pic:spPr>
                      </pic:pic>
                    </a:graphicData>
                  </a:graphic>
                </wp:inline>
              </w:drawing>
            </w:r>
          </w:p>
          <w:p>
            <w:pPr>
              <w:ind w:firstLine="480"/>
              <w:rPr>
                <w:lang w:val="zh-CN"/>
              </w:rPr>
            </w:pPr>
            <w:r>
              <w:rPr>
                <w:rFonts w:hint="eastAsia"/>
                <w:lang w:val="zh-CN"/>
              </w:rPr>
              <w:t>式中：</w:t>
            </w:r>
          </w:p>
          <w:p>
            <w:pPr>
              <w:ind w:firstLine="480"/>
              <w:rPr>
                <w:lang w:val="zh-CN"/>
              </w:rPr>
            </w:pPr>
            <w:r>
              <w:rPr>
                <w:rFonts w:hint="eastAsia"/>
                <w:lang w:val="zh-CN"/>
              </w:rPr>
              <w:t>L</w:t>
            </w:r>
            <w:r>
              <w:rPr>
                <w:rFonts w:hint="eastAsia"/>
                <w:vertAlign w:val="subscript"/>
                <w:lang w:val="zh-CN"/>
              </w:rPr>
              <w:t>eq</w:t>
            </w:r>
            <w:r>
              <w:rPr>
                <w:rFonts w:hint="eastAsia"/>
                <w:lang w:val="zh-CN"/>
              </w:rPr>
              <w:t>——预测点的噪声预测值，dB；</w:t>
            </w:r>
          </w:p>
          <w:p>
            <w:pPr>
              <w:ind w:firstLine="480"/>
              <w:rPr>
                <w:lang w:val="zh-CN"/>
              </w:rPr>
            </w:pPr>
            <w:r>
              <w:rPr>
                <w:rFonts w:hint="eastAsia"/>
                <w:lang w:val="zh-CN"/>
              </w:rPr>
              <w:t>L</w:t>
            </w:r>
            <w:r>
              <w:rPr>
                <w:rFonts w:hint="eastAsia"/>
                <w:vertAlign w:val="subscript"/>
                <w:lang w:val="zh-CN"/>
              </w:rPr>
              <w:t>eqg</w:t>
            </w:r>
            <w:r>
              <w:rPr>
                <w:rFonts w:hint="eastAsia"/>
                <w:lang w:val="zh-CN"/>
              </w:rPr>
              <w:t>——建设项目声源在预测点产生的噪声贡献值，dB；</w:t>
            </w:r>
          </w:p>
          <w:p>
            <w:pPr>
              <w:ind w:firstLine="480"/>
              <w:rPr>
                <w:lang w:val="zh-CN"/>
              </w:rPr>
            </w:pPr>
            <w:r>
              <w:rPr>
                <w:rFonts w:hint="eastAsia"/>
                <w:lang w:val="zh-CN"/>
              </w:rPr>
              <w:t>L</w:t>
            </w:r>
            <w:r>
              <w:rPr>
                <w:rFonts w:hint="eastAsia"/>
                <w:vertAlign w:val="subscript"/>
                <w:lang w:val="zh-CN"/>
              </w:rPr>
              <w:t>eqb</w:t>
            </w:r>
            <w:r>
              <w:rPr>
                <w:rFonts w:hint="eastAsia"/>
                <w:lang w:val="zh-CN"/>
              </w:rPr>
              <w:t>——预测点的背景噪声值，dB。</w:t>
            </w:r>
          </w:p>
          <w:p>
            <w:pPr>
              <w:ind w:firstLine="480"/>
              <w:rPr>
                <w:lang w:val="zh-CN"/>
              </w:rPr>
            </w:pPr>
            <w:r>
              <w:rPr>
                <w:rFonts w:hint="eastAsia"/>
                <w:lang w:val="zh-CN"/>
              </w:rPr>
              <w:t>根据《环境工作手册—环境噪声控制卷》（高等教育出版社，2000年），经过上述处理措施以及墙体隔声后可隔声20~30分贝，本评价按15dB（A）算，根据《环境影响评价技术导则 声环境》（HJ2.4-2021），新建项目以工程噪声贡献值作为评价量，因此经过墙体隔声、基础减震、距离衰减后，本项目投产后噪声预测结果详见下表。</w:t>
            </w:r>
          </w:p>
          <w:p>
            <w:pPr>
              <w:ind w:firstLine="480"/>
              <w:rPr>
                <w:lang w:val="zh-CN"/>
              </w:rPr>
            </w:pPr>
            <w:r>
              <w:rPr>
                <w:rFonts w:hint="eastAsia"/>
                <w:lang w:val="zh-CN"/>
              </w:rPr>
              <w:t>本项目噪声源与厂界、周边敏感点的距离见下表。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15</w:t>
            </w:r>
            <w:r>
              <w:fldChar w:fldCharType="end"/>
            </w:r>
            <w:r>
              <w:rPr>
                <w:rFonts w:hint="eastAsia"/>
              </w:rPr>
              <w:t xml:space="preserve">噪声源与厂界、敏感点距离 </w:t>
            </w:r>
            <w:r>
              <w:t xml:space="preserve">  </w:t>
            </w:r>
            <w:r>
              <w:rPr>
                <w:rFonts w:hint="eastAsia"/>
              </w:rPr>
              <w:t>单位：</w:t>
            </w:r>
            <w:r>
              <w:rPr>
                <w:rFonts w:hint="eastAsia"/>
                <w:lang w:eastAsia="zh-CN"/>
              </w:rPr>
              <w:t>m</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235"/>
              <w:gridCol w:w="1235"/>
              <w:gridCol w:w="1235"/>
              <w:gridCol w:w="123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center"/>
                </w:tcPr>
                <w:p>
                  <w:pPr>
                    <w:pStyle w:val="56"/>
                  </w:pPr>
                  <w:r>
                    <w:rPr>
                      <w:rFonts w:hint="eastAsia"/>
                      <w:lang w:eastAsia="zh-CN"/>
                    </w:rPr>
                    <w:t>噪声源</w:t>
                  </w:r>
                </w:p>
              </w:tc>
              <w:tc>
                <w:tcPr>
                  <w:tcW w:w="1235" w:type="dxa"/>
                  <w:vAlign w:val="center"/>
                </w:tcPr>
                <w:p>
                  <w:pPr>
                    <w:pStyle w:val="56"/>
                  </w:pPr>
                  <w:r>
                    <w:rPr>
                      <w:rFonts w:hint="eastAsia"/>
                      <w:lang w:eastAsia="zh-CN"/>
                    </w:rPr>
                    <w:t>东侧厂界</w:t>
                  </w:r>
                </w:p>
              </w:tc>
              <w:tc>
                <w:tcPr>
                  <w:tcW w:w="1235" w:type="dxa"/>
                  <w:vAlign w:val="center"/>
                </w:tcPr>
                <w:p>
                  <w:pPr>
                    <w:pStyle w:val="56"/>
                  </w:pPr>
                  <w:r>
                    <w:rPr>
                      <w:rFonts w:hint="eastAsia"/>
                      <w:lang w:eastAsia="zh-CN"/>
                    </w:rPr>
                    <w:t>南侧厂界</w:t>
                  </w:r>
                </w:p>
              </w:tc>
              <w:tc>
                <w:tcPr>
                  <w:tcW w:w="1235" w:type="dxa"/>
                  <w:vAlign w:val="center"/>
                </w:tcPr>
                <w:p>
                  <w:pPr>
                    <w:pStyle w:val="56"/>
                    <w:rPr>
                      <w:lang w:eastAsia="zh-CN"/>
                    </w:rPr>
                  </w:pPr>
                  <w:r>
                    <w:rPr>
                      <w:rFonts w:hint="eastAsia"/>
                      <w:lang w:eastAsia="zh-CN"/>
                    </w:rPr>
                    <w:t>西侧厂界</w:t>
                  </w:r>
                </w:p>
              </w:tc>
              <w:tc>
                <w:tcPr>
                  <w:tcW w:w="1236" w:type="dxa"/>
                  <w:vAlign w:val="center"/>
                </w:tcPr>
                <w:p>
                  <w:pPr>
                    <w:pStyle w:val="56"/>
                  </w:pPr>
                  <w:r>
                    <w:rPr>
                      <w:rFonts w:hint="eastAsia"/>
                      <w:lang w:eastAsia="zh-CN"/>
                    </w:rPr>
                    <w:t>北侧厂界</w:t>
                  </w:r>
                </w:p>
              </w:tc>
              <w:tc>
                <w:tcPr>
                  <w:tcW w:w="1236" w:type="dxa"/>
                  <w:vAlign w:val="center"/>
                </w:tcPr>
                <w:p>
                  <w:pPr>
                    <w:pStyle w:val="56"/>
                  </w:pPr>
                  <w:r>
                    <w:rPr>
                      <w:rFonts w:hint="eastAsia"/>
                      <w:lang w:eastAsia="zh-CN"/>
                    </w:rPr>
                    <w:t>圆梦园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center"/>
                </w:tcPr>
                <w:p>
                  <w:pPr>
                    <w:pStyle w:val="66"/>
                  </w:pPr>
                  <w:r>
                    <w:rPr>
                      <w:rFonts w:hint="eastAsia"/>
                      <w:lang w:val="en-US" w:eastAsia="zh-CN"/>
                    </w:rPr>
                    <w:t>纯水机</w:t>
                  </w:r>
                </w:p>
              </w:tc>
              <w:tc>
                <w:tcPr>
                  <w:tcW w:w="1235" w:type="dxa"/>
                  <w:vAlign w:val="center"/>
                </w:tcPr>
                <w:p>
                  <w:pPr>
                    <w:pStyle w:val="66"/>
                    <w:rPr>
                      <w:lang w:eastAsia="zh-CN"/>
                    </w:rPr>
                  </w:pPr>
                  <w:r>
                    <w:rPr>
                      <w:rFonts w:hint="eastAsia"/>
                      <w:lang w:eastAsia="zh-CN"/>
                    </w:rPr>
                    <w:t>7</w:t>
                  </w:r>
                  <w:r>
                    <w:rPr>
                      <w:lang w:eastAsia="zh-CN"/>
                    </w:rPr>
                    <w:t>6</w:t>
                  </w:r>
                </w:p>
              </w:tc>
              <w:tc>
                <w:tcPr>
                  <w:tcW w:w="1235" w:type="dxa"/>
                  <w:vAlign w:val="center"/>
                </w:tcPr>
                <w:p>
                  <w:pPr>
                    <w:pStyle w:val="66"/>
                    <w:rPr>
                      <w:lang w:eastAsia="zh-CN"/>
                    </w:rPr>
                  </w:pPr>
                  <w:r>
                    <w:rPr>
                      <w:rFonts w:hint="eastAsia"/>
                      <w:lang w:eastAsia="zh-CN"/>
                    </w:rPr>
                    <w:t>6</w:t>
                  </w:r>
                  <w:r>
                    <w:rPr>
                      <w:lang w:eastAsia="zh-CN"/>
                    </w:rPr>
                    <w:t>0</w:t>
                  </w:r>
                </w:p>
              </w:tc>
              <w:tc>
                <w:tcPr>
                  <w:tcW w:w="1235" w:type="dxa"/>
                  <w:vAlign w:val="center"/>
                </w:tcPr>
                <w:p>
                  <w:pPr>
                    <w:pStyle w:val="66"/>
                    <w:rPr>
                      <w:lang w:eastAsia="zh-CN"/>
                    </w:rPr>
                  </w:pPr>
                  <w:r>
                    <w:rPr>
                      <w:rFonts w:hint="eastAsia"/>
                      <w:lang w:eastAsia="zh-CN"/>
                    </w:rPr>
                    <w:t>9</w:t>
                  </w:r>
                  <w:r>
                    <w:rPr>
                      <w:lang w:eastAsia="zh-CN"/>
                    </w:rPr>
                    <w:t>2</w:t>
                  </w:r>
                </w:p>
              </w:tc>
              <w:tc>
                <w:tcPr>
                  <w:tcW w:w="1236" w:type="dxa"/>
                  <w:vAlign w:val="center"/>
                </w:tcPr>
                <w:p>
                  <w:pPr>
                    <w:pStyle w:val="66"/>
                    <w:rPr>
                      <w:lang w:eastAsia="zh-CN"/>
                    </w:rPr>
                  </w:pPr>
                  <w:r>
                    <w:rPr>
                      <w:lang w:eastAsia="zh-CN"/>
                    </w:rPr>
                    <w:t>11</w:t>
                  </w:r>
                </w:p>
              </w:tc>
              <w:tc>
                <w:tcPr>
                  <w:tcW w:w="1236" w:type="dxa"/>
                  <w:vAlign w:val="center"/>
                </w:tcPr>
                <w:p>
                  <w:pPr>
                    <w:pStyle w:val="56"/>
                    <w:rPr>
                      <w:lang w:eastAsia="zh-CN"/>
                    </w:rPr>
                  </w:pPr>
                  <w:r>
                    <w:rPr>
                      <w:rFonts w:hint="eastAsia"/>
                      <w:lang w:eastAsia="zh-CN"/>
                    </w:rPr>
                    <w:t>1</w:t>
                  </w:r>
                  <w:r>
                    <w:rPr>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center"/>
                </w:tcPr>
                <w:p>
                  <w:pPr>
                    <w:pStyle w:val="66"/>
                  </w:pPr>
                  <w:r>
                    <w:rPr>
                      <w:rFonts w:hint="eastAsia"/>
                      <w:lang w:val="en-US" w:eastAsia="zh-CN"/>
                    </w:rPr>
                    <w:t>高压灭菌锅</w:t>
                  </w:r>
                </w:p>
              </w:tc>
              <w:tc>
                <w:tcPr>
                  <w:tcW w:w="1235" w:type="dxa"/>
                  <w:vAlign w:val="center"/>
                </w:tcPr>
                <w:p>
                  <w:pPr>
                    <w:pStyle w:val="66"/>
                    <w:rPr>
                      <w:lang w:eastAsia="zh-CN"/>
                    </w:rPr>
                  </w:pPr>
                  <w:r>
                    <w:rPr>
                      <w:rFonts w:hint="eastAsia"/>
                      <w:lang w:eastAsia="zh-CN"/>
                    </w:rPr>
                    <w:t>8</w:t>
                  </w:r>
                  <w:r>
                    <w:rPr>
                      <w:lang w:eastAsia="zh-CN"/>
                    </w:rPr>
                    <w:t>6</w:t>
                  </w:r>
                </w:p>
              </w:tc>
              <w:tc>
                <w:tcPr>
                  <w:tcW w:w="1235" w:type="dxa"/>
                  <w:vAlign w:val="center"/>
                </w:tcPr>
                <w:p>
                  <w:pPr>
                    <w:pStyle w:val="66"/>
                    <w:rPr>
                      <w:lang w:eastAsia="zh-CN"/>
                    </w:rPr>
                  </w:pPr>
                  <w:r>
                    <w:rPr>
                      <w:lang w:eastAsia="zh-CN"/>
                    </w:rPr>
                    <w:t>57</w:t>
                  </w:r>
                </w:p>
              </w:tc>
              <w:tc>
                <w:tcPr>
                  <w:tcW w:w="1235" w:type="dxa"/>
                  <w:vAlign w:val="center"/>
                </w:tcPr>
                <w:p>
                  <w:pPr>
                    <w:pStyle w:val="66"/>
                    <w:rPr>
                      <w:lang w:eastAsia="zh-CN"/>
                    </w:rPr>
                  </w:pPr>
                  <w:r>
                    <w:rPr>
                      <w:rFonts w:hint="eastAsia"/>
                      <w:lang w:eastAsia="zh-CN"/>
                    </w:rPr>
                    <w:t>8</w:t>
                  </w:r>
                  <w:r>
                    <w:rPr>
                      <w:lang w:eastAsia="zh-CN"/>
                    </w:rPr>
                    <w:t>2</w:t>
                  </w:r>
                </w:p>
              </w:tc>
              <w:tc>
                <w:tcPr>
                  <w:tcW w:w="1236" w:type="dxa"/>
                  <w:vAlign w:val="center"/>
                </w:tcPr>
                <w:p>
                  <w:pPr>
                    <w:pStyle w:val="66"/>
                    <w:rPr>
                      <w:lang w:eastAsia="zh-CN"/>
                    </w:rPr>
                  </w:pPr>
                  <w:r>
                    <w:rPr>
                      <w:lang w:eastAsia="zh-CN"/>
                    </w:rPr>
                    <w:t>11</w:t>
                  </w:r>
                </w:p>
              </w:tc>
              <w:tc>
                <w:tcPr>
                  <w:tcW w:w="1236" w:type="dxa"/>
                  <w:vAlign w:val="center"/>
                </w:tcPr>
                <w:p>
                  <w:pPr>
                    <w:pStyle w:val="56"/>
                    <w:rPr>
                      <w:lang w:eastAsia="zh-CN"/>
                    </w:rPr>
                  </w:pPr>
                  <w:r>
                    <w:rPr>
                      <w:lang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5" w:type="dxa"/>
                  <w:vAlign w:val="center"/>
                </w:tcPr>
                <w:p>
                  <w:pPr>
                    <w:pStyle w:val="66"/>
                  </w:pPr>
                  <w:r>
                    <w:rPr>
                      <w:rFonts w:hint="eastAsia"/>
                      <w:lang w:val="en-US" w:eastAsia="zh-CN"/>
                    </w:rPr>
                    <w:t>台式高速离心机</w:t>
                  </w:r>
                </w:p>
              </w:tc>
              <w:tc>
                <w:tcPr>
                  <w:tcW w:w="1235" w:type="dxa"/>
                  <w:vAlign w:val="center"/>
                </w:tcPr>
                <w:p>
                  <w:pPr>
                    <w:pStyle w:val="66"/>
                    <w:rPr>
                      <w:lang w:eastAsia="zh-CN"/>
                    </w:rPr>
                  </w:pPr>
                  <w:r>
                    <w:rPr>
                      <w:lang w:eastAsia="zh-CN"/>
                    </w:rPr>
                    <w:t>103</w:t>
                  </w:r>
                </w:p>
              </w:tc>
              <w:tc>
                <w:tcPr>
                  <w:tcW w:w="1235" w:type="dxa"/>
                  <w:vAlign w:val="center"/>
                </w:tcPr>
                <w:p>
                  <w:pPr>
                    <w:pStyle w:val="66"/>
                    <w:rPr>
                      <w:lang w:eastAsia="zh-CN"/>
                    </w:rPr>
                  </w:pPr>
                  <w:r>
                    <w:rPr>
                      <w:rFonts w:hint="eastAsia"/>
                      <w:lang w:eastAsia="zh-CN"/>
                    </w:rPr>
                    <w:t>4</w:t>
                  </w:r>
                  <w:r>
                    <w:rPr>
                      <w:lang w:eastAsia="zh-CN"/>
                    </w:rPr>
                    <w:t>6</w:t>
                  </w:r>
                </w:p>
              </w:tc>
              <w:tc>
                <w:tcPr>
                  <w:tcW w:w="1235" w:type="dxa"/>
                  <w:vAlign w:val="center"/>
                </w:tcPr>
                <w:p>
                  <w:pPr>
                    <w:pStyle w:val="66"/>
                    <w:rPr>
                      <w:lang w:eastAsia="zh-CN"/>
                    </w:rPr>
                  </w:pPr>
                  <w:r>
                    <w:rPr>
                      <w:rFonts w:hint="eastAsia"/>
                      <w:lang w:eastAsia="zh-CN"/>
                    </w:rPr>
                    <w:t>7</w:t>
                  </w:r>
                  <w:r>
                    <w:rPr>
                      <w:lang w:eastAsia="zh-CN"/>
                    </w:rPr>
                    <w:t>4</w:t>
                  </w:r>
                </w:p>
              </w:tc>
              <w:tc>
                <w:tcPr>
                  <w:tcW w:w="1236" w:type="dxa"/>
                  <w:vAlign w:val="center"/>
                </w:tcPr>
                <w:p>
                  <w:pPr>
                    <w:pStyle w:val="66"/>
                    <w:rPr>
                      <w:lang w:eastAsia="zh-CN"/>
                    </w:rPr>
                  </w:pPr>
                  <w:r>
                    <w:rPr>
                      <w:rFonts w:hint="eastAsia"/>
                      <w:lang w:eastAsia="zh-CN"/>
                    </w:rPr>
                    <w:t>2</w:t>
                  </w:r>
                  <w:r>
                    <w:rPr>
                      <w:lang w:eastAsia="zh-CN"/>
                    </w:rPr>
                    <w:t>2</w:t>
                  </w:r>
                </w:p>
              </w:tc>
              <w:tc>
                <w:tcPr>
                  <w:tcW w:w="1236" w:type="dxa"/>
                  <w:vAlign w:val="center"/>
                </w:tcPr>
                <w:p>
                  <w:pPr>
                    <w:pStyle w:val="56"/>
                    <w:rPr>
                      <w:lang w:eastAsia="zh-CN"/>
                    </w:rPr>
                  </w:pPr>
                  <w:r>
                    <w:rPr>
                      <w:rFonts w:hint="eastAsia"/>
                      <w:lang w:eastAsia="zh-CN"/>
                    </w:rPr>
                    <w:t>2</w:t>
                  </w:r>
                  <w:r>
                    <w:rPr>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center"/>
                </w:tcPr>
                <w:p>
                  <w:pPr>
                    <w:pStyle w:val="66"/>
                  </w:pPr>
                  <w:r>
                    <w:rPr>
                      <w:rFonts w:hint="eastAsia"/>
                      <w:lang w:val="en-US" w:eastAsia="zh-CN"/>
                    </w:rPr>
                    <w:t>小型高速离心机</w:t>
                  </w:r>
                </w:p>
              </w:tc>
              <w:tc>
                <w:tcPr>
                  <w:tcW w:w="1235" w:type="dxa"/>
                  <w:vAlign w:val="center"/>
                </w:tcPr>
                <w:p>
                  <w:pPr>
                    <w:pStyle w:val="66"/>
                    <w:rPr>
                      <w:lang w:val="en-US" w:eastAsia="zh-CN"/>
                    </w:rPr>
                  </w:pPr>
                  <w:r>
                    <w:rPr>
                      <w:rFonts w:hint="eastAsia"/>
                      <w:lang w:val="en-US" w:eastAsia="zh-CN"/>
                    </w:rPr>
                    <w:t>1</w:t>
                  </w:r>
                  <w:r>
                    <w:rPr>
                      <w:lang w:val="en-US" w:eastAsia="zh-CN"/>
                    </w:rPr>
                    <w:t>00</w:t>
                  </w:r>
                </w:p>
              </w:tc>
              <w:tc>
                <w:tcPr>
                  <w:tcW w:w="1235" w:type="dxa"/>
                  <w:vAlign w:val="center"/>
                </w:tcPr>
                <w:p>
                  <w:pPr>
                    <w:pStyle w:val="66"/>
                    <w:rPr>
                      <w:lang w:val="en-US" w:eastAsia="zh-CN"/>
                    </w:rPr>
                  </w:pPr>
                  <w:r>
                    <w:rPr>
                      <w:rFonts w:hint="eastAsia"/>
                      <w:lang w:val="en-US" w:eastAsia="zh-CN"/>
                    </w:rPr>
                    <w:t>4</w:t>
                  </w:r>
                  <w:r>
                    <w:rPr>
                      <w:lang w:val="en-US" w:eastAsia="zh-CN"/>
                    </w:rPr>
                    <w:t>8</w:t>
                  </w:r>
                </w:p>
              </w:tc>
              <w:tc>
                <w:tcPr>
                  <w:tcW w:w="1235" w:type="dxa"/>
                  <w:vAlign w:val="center"/>
                </w:tcPr>
                <w:p>
                  <w:pPr>
                    <w:pStyle w:val="66"/>
                    <w:rPr>
                      <w:lang w:val="en-US" w:eastAsia="zh-CN"/>
                    </w:rPr>
                  </w:pPr>
                  <w:r>
                    <w:rPr>
                      <w:rFonts w:hint="eastAsia"/>
                      <w:lang w:val="en-US" w:eastAsia="zh-CN"/>
                    </w:rPr>
                    <w:t>7</w:t>
                  </w:r>
                  <w:r>
                    <w:rPr>
                      <w:lang w:val="en-US" w:eastAsia="zh-CN"/>
                    </w:rPr>
                    <w:t>3</w:t>
                  </w:r>
                </w:p>
              </w:tc>
              <w:tc>
                <w:tcPr>
                  <w:tcW w:w="1236" w:type="dxa"/>
                  <w:vAlign w:val="center"/>
                </w:tcPr>
                <w:p>
                  <w:pPr>
                    <w:pStyle w:val="66"/>
                    <w:rPr>
                      <w:lang w:val="en-US" w:eastAsia="zh-CN"/>
                    </w:rPr>
                  </w:pPr>
                  <w:r>
                    <w:rPr>
                      <w:rFonts w:hint="eastAsia"/>
                      <w:lang w:val="en-US" w:eastAsia="zh-CN"/>
                    </w:rPr>
                    <w:t>2</w:t>
                  </w:r>
                  <w:r>
                    <w:rPr>
                      <w:lang w:val="en-US" w:eastAsia="zh-CN"/>
                    </w:rPr>
                    <w:t>0</w:t>
                  </w:r>
                </w:p>
              </w:tc>
              <w:tc>
                <w:tcPr>
                  <w:tcW w:w="1236" w:type="dxa"/>
                  <w:vAlign w:val="center"/>
                </w:tcPr>
                <w:p>
                  <w:pPr>
                    <w:pStyle w:val="56"/>
                    <w:rPr>
                      <w:lang w:eastAsia="zh-CN"/>
                    </w:rPr>
                  </w:pPr>
                  <w:r>
                    <w:rPr>
                      <w:rFonts w:hint="eastAsia"/>
                      <w:lang w:eastAsia="zh-CN"/>
                    </w:rPr>
                    <w:t>2</w:t>
                  </w:r>
                  <w:r>
                    <w:rPr>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center"/>
                </w:tcPr>
                <w:p>
                  <w:pPr>
                    <w:pStyle w:val="66"/>
                  </w:pPr>
                  <w:r>
                    <w:rPr>
                      <w:rFonts w:hint="eastAsia"/>
                      <w:lang w:val="en-US" w:eastAsia="zh-CN"/>
                    </w:rPr>
                    <w:t>振动器</w:t>
                  </w:r>
                </w:p>
              </w:tc>
              <w:tc>
                <w:tcPr>
                  <w:tcW w:w="1235" w:type="dxa"/>
                  <w:vAlign w:val="center"/>
                </w:tcPr>
                <w:p>
                  <w:pPr>
                    <w:pStyle w:val="66"/>
                    <w:rPr>
                      <w:lang w:val="en-US" w:eastAsia="zh-CN"/>
                    </w:rPr>
                  </w:pPr>
                  <w:r>
                    <w:rPr>
                      <w:rFonts w:hint="eastAsia"/>
                      <w:lang w:val="en-US" w:eastAsia="zh-CN"/>
                    </w:rPr>
                    <w:t>1</w:t>
                  </w:r>
                  <w:r>
                    <w:rPr>
                      <w:lang w:val="en-US" w:eastAsia="zh-CN"/>
                    </w:rPr>
                    <w:t>05</w:t>
                  </w:r>
                </w:p>
              </w:tc>
              <w:tc>
                <w:tcPr>
                  <w:tcW w:w="1235" w:type="dxa"/>
                  <w:vAlign w:val="center"/>
                </w:tcPr>
                <w:p>
                  <w:pPr>
                    <w:pStyle w:val="66"/>
                    <w:rPr>
                      <w:lang w:val="en-US" w:eastAsia="zh-CN"/>
                    </w:rPr>
                  </w:pPr>
                  <w:r>
                    <w:rPr>
                      <w:rFonts w:hint="eastAsia"/>
                      <w:lang w:val="en-US" w:eastAsia="zh-CN"/>
                    </w:rPr>
                    <w:t>5</w:t>
                  </w:r>
                  <w:r>
                    <w:rPr>
                      <w:lang w:val="en-US" w:eastAsia="zh-CN"/>
                    </w:rPr>
                    <w:t>7</w:t>
                  </w:r>
                </w:p>
              </w:tc>
              <w:tc>
                <w:tcPr>
                  <w:tcW w:w="1235" w:type="dxa"/>
                  <w:vAlign w:val="center"/>
                </w:tcPr>
                <w:p>
                  <w:pPr>
                    <w:pStyle w:val="66"/>
                    <w:rPr>
                      <w:lang w:val="en-US" w:eastAsia="zh-CN"/>
                    </w:rPr>
                  </w:pPr>
                  <w:r>
                    <w:rPr>
                      <w:rFonts w:hint="eastAsia"/>
                      <w:lang w:val="en-US" w:eastAsia="zh-CN"/>
                    </w:rPr>
                    <w:t>6</w:t>
                  </w:r>
                  <w:r>
                    <w:rPr>
                      <w:lang w:val="en-US" w:eastAsia="zh-CN"/>
                    </w:rPr>
                    <w:t>4</w:t>
                  </w:r>
                </w:p>
              </w:tc>
              <w:tc>
                <w:tcPr>
                  <w:tcW w:w="1236" w:type="dxa"/>
                  <w:vAlign w:val="center"/>
                </w:tcPr>
                <w:p>
                  <w:pPr>
                    <w:pStyle w:val="66"/>
                    <w:rPr>
                      <w:lang w:val="en-US" w:eastAsia="zh-CN"/>
                    </w:rPr>
                  </w:pPr>
                  <w:r>
                    <w:rPr>
                      <w:rFonts w:hint="eastAsia"/>
                      <w:lang w:val="en-US" w:eastAsia="zh-CN"/>
                    </w:rPr>
                    <w:t>1</w:t>
                  </w:r>
                  <w:r>
                    <w:rPr>
                      <w:lang w:val="en-US" w:eastAsia="zh-CN"/>
                    </w:rPr>
                    <w:t>2</w:t>
                  </w:r>
                </w:p>
              </w:tc>
              <w:tc>
                <w:tcPr>
                  <w:tcW w:w="1236" w:type="dxa"/>
                  <w:vAlign w:val="center"/>
                </w:tcPr>
                <w:p>
                  <w:pPr>
                    <w:pStyle w:val="56"/>
                    <w:rPr>
                      <w:lang w:eastAsia="zh-CN"/>
                    </w:rPr>
                  </w:pPr>
                  <w:r>
                    <w:rPr>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center"/>
                </w:tcPr>
                <w:p>
                  <w:pPr>
                    <w:pStyle w:val="66"/>
                    <w:rPr>
                      <w:lang w:val="en-US" w:eastAsia="zh-CN"/>
                    </w:rPr>
                  </w:pPr>
                  <w:r>
                    <w:rPr>
                      <w:rFonts w:hint="eastAsia"/>
                      <w:lang w:val="en-US" w:eastAsia="zh-CN"/>
                    </w:rPr>
                    <w:t>空调机组</w:t>
                  </w:r>
                </w:p>
              </w:tc>
              <w:tc>
                <w:tcPr>
                  <w:tcW w:w="1235" w:type="dxa"/>
                  <w:vAlign w:val="center"/>
                </w:tcPr>
                <w:p>
                  <w:pPr>
                    <w:pStyle w:val="66"/>
                    <w:rPr>
                      <w:lang w:eastAsia="zh-CN"/>
                    </w:rPr>
                  </w:pPr>
                  <w:r>
                    <w:rPr>
                      <w:lang w:eastAsia="zh-CN"/>
                    </w:rPr>
                    <w:t>80</w:t>
                  </w:r>
                </w:p>
              </w:tc>
              <w:tc>
                <w:tcPr>
                  <w:tcW w:w="1235" w:type="dxa"/>
                  <w:vAlign w:val="center"/>
                </w:tcPr>
                <w:p>
                  <w:pPr>
                    <w:pStyle w:val="66"/>
                    <w:rPr>
                      <w:lang w:eastAsia="zh-CN"/>
                    </w:rPr>
                  </w:pPr>
                  <w:r>
                    <w:rPr>
                      <w:rFonts w:hint="eastAsia"/>
                      <w:lang w:eastAsia="zh-CN"/>
                    </w:rPr>
                    <w:t>6</w:t>
                  </w:r>
                  <w:r>
                    <w:rPr>
                      <w:lang w:eastAsia="zh-CN"/>
                    </w:rPr>
                    <w:t>0</w:t>
                  </w:r>
                </w:p>
              </w:tc>
              <w:tc>
                <w:tcPr>
                  <w:tcW w:w="1235" w:type="dxa"/>
                  <w:vAlign w:val="center"/>
                </w:tcPr>
                <w:p>
                  <w:pPr>
                    <w:pStyle w:val="66"/>
                    <w:rPr>
                      <w:lang w:eastAsia="zh-CN"/>
                    </w:rPr>
                  </w:pPr>
                  <w:r>
                    <w:rPr>
                      <w:lang w:eastAsia="zh-CN"/>
                    </w:rPr>
                    <w:t>90</w:t>
                  </w:r>
                </w:p>
              </w:tc>
              <w:tc>
                <w:tcPr>
                  <w:tcW w:w="1236" w:type="dxa"/>
                  <w:vAlign w:val="center"/>
                </w:tcPr>
                <w:p>
                  <w:pPr>
                    <w:pStyle w:val="66"/>
                    <w:rPr>
                      <w:lang w:eastAsia="zh-CN"/>
                    </w:rPr>
                  </w:pPr>
                  <w:r>
                    <w:rPr>
                      <w:lang w:eastAsia="zh-CN"/>
                    </w:rPr>
                    <w:t>11</w:t>
                  </w:r>
                </w:p>
              </w:tc>
              <w:tc>
                <w:tcPr>
                  <w:tcW w:w="1236" w:type="dxa"/>
                  <w:vAlign w:val="center"/>
                </w:tcPr>
                <w:p>
                  <w:pPr>
                    <w:pStyle w:val="56"/>
                    <w:rPr>
                      <w:lang w:eastAsia="zh-CN"/>
                    </w:rPr>
                  </w:pPr>
                  <w:r>
                    <w:rPr>
                      <w:rFonts w:hint="eastAsia"/>
                      <w:lang w:eastAsia="zh-CN"/>
                    </w:rPr>
                    <w:t>1</w:t>
                  </w:r>
                  <w:r>
                    <w:rPr>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5" w:type="dxa"/>
                  <w:vAlign w:val="center"/>
                </w:tcPr>
                <w:p>
                  <w:pPr>
                    <w:pStyle w:val="66"/>
                    <w:rPr>
                      <w:lang w:val="en-US" w:eastAsia="zh-CN"/>
                    </w:rPr>
                  </w:pPr>
                  <w:r>
                    <w:rPr>
                      <w:rFonts w:hint="eastAsia"/>
                      <w:lang w:val="en-US" w:eastAsia="zh-CN"/>
                    </w:rPr>
                    <w:t>通风设备</w:t>
                  </w:r>
                </w:p>
              </w:tc>
              <w:tc>
                <w:tcPr>
                  <w:tcW w:w="1235" w:type="dxa"/>
                  <w:vAlign w:val="center"/>
                </w:tcPr>
                <w:p>
                  <w:pPr>
                    <w:pStyle w:val="66"/>
                    <w:rPr>
                      <w:lang w:eastAsia="zh-CN"/>
                    </w:rPr>
                  </w:pPr>
                  <w:r>
                    <w:rPr>
                      <w:lang w:eastAsia="zh-CN"/>
                    </w:rPr>
                    <w:t>100</w:t>
                  </w:r>
                </w:p>
              </w:tc>
              <w:tc>
                <w:tcPr>
                  <w:tcW w:w="1235" w:type="dxa"/>
                  <w:vAlign w:val="center"/>
                </w:tcPr>
                <w:p>
                  <w:pPr>
                    <w:pStyle w:val="66"/>
                    <w:rPr>
                      <w:lang w:eastAsia="zh-CN"/>
                    </w:rPr>
                  </w:pPr>
                  <w:r>
                    <w:rPr>
                      <w:rFonts w:hint="eastAsia"/>
                      <w:lang w:eastAsia="zh-CN"/>
                    </w:rPr>
                    <w:t>4</w:t>
                  </w:r>
                  <w:r>
                    <w:rPr>
                      <w:lang w:eastAsia="zh-CN"/>
                    </w:rPr>
                    <w:t>6</w:t>
                  </w:r>
                </w:p>
              </w:tc>
              <w:tc>
                <w:tcPr>
                  <w:tcW w:w="1235" w:type="dxa"/>
                  <w:vAlign w:val="center"/>
                </w:tcPr>
                <w:p>
                  <w:pPr>
                    <w:pStyle w:val="66"/>
                    <w:rPr>
                      <w:lang w:eastAsia="zh-CN"/>
                    </w:rPr>
                  </w:pPr>
                  <w:r>
                    <w:rPr>
                      <w:rFonts w:hint="eastAsia"/>
                      <w:lang w:eastAsia="zh-CN"/>
                    </w:rPr>
                    <w:t>7</w:t>
                  </w:r>
                  <w:r>
                    <w:rPr>
                      <w:lang w:eastAsia="zh-CN"/>
                    </w:rPr>
                    <w:t>7</w:t>
                  </w:r>
                </w:p>
              </w:tc>
              <w:tc>
                <w:tcPr>
                  <w:tcW w:w="1236" w:type="dxa"/>
                  <w:vAlign w:val="center"/>
                </w:tcPr>
                <w:p>
                  <w:pPr>
                    <w:pStyle w:val="66"/>
                    <w:rPr>
                      <w:lang w:eastAsia="zh-CN"/>
                    </w:rPr>
                  </w:pPr>
                  <w:r>
                    <w:rPr>
                      <w:rFonts w:hint="eastAsia"/>
                      <w:lang w:eastAsia="zh-CN"/>
                    </w:rPr>
                    <w:t>2</w:t>
                  </w:r>
                  <w:r>
                    <w:rPr>
                      <w:lang w:eastAsia="zh-CN"/>
                    </w:rPr>
                    <w:t>2</w:t>
                  </w:r>
                </w:p>
              </w:tc>
              <w:tc>
                <w:tcPr>
                  <w:tcW w:w="1236" w:type="dxa"/>
                  <w:vAlign w:val="center"/>
                </w:tcPr>
                <w:p>
                  <w:pPr>
                    <w:pStyle w:val="56"/>
                    <w:rPr>
                      <w:lang w:eastAsia="zh-CN"/>
                    </w:rPr>
                  </w:pPr>
                  <w:r>
                    <w:rPr>
                      <w:rFonts w:hint="eastAsia"/>
                      <w:lang w:eastAsia="zh-CN"/>
                    </w:rPr>
                    <w:t>2</w:t>
                  </w:r>
                  <w:r>
                    <w:rPr>
                      <w:lang w:eastAsia="zh-CN"/>
                    </w:rPr>
                    <w:t>6</w:t>
                  </w:r>
                </w:p>
              </w:tc>
            </w:tr>
          </w:tbl>
          <w:p>
            <w:pPr>
              <w:pStyle w:val="56"/>
            </w:pPr>
          </w:p>
          <w:p>
            <w:pPr>
              <w:ind w:firstLine="480"/>
              <w:rPr>
                <w:lang w:val="zh-CN"/>
              </w:rPr>
            </w:pPr>
            <w:r>
              <w:rPr>
                <w:rFonts w:hint="eastAsia"/>
                <w:lang w:val="zh-CN"/>
              </w:rPr>
              <w:t>本项目设备运行噪声对四周边界及周边敏感点的噪声贡献值详见表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16</w:t>
            </w:r>
            <w:r>
              <w:fldChar w:fldCharType="end"/>
            </w:r>
            <w:r>
              <w:t>项目设备噪声贡献值一览表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786"/>
              <w:gridCol w:w="451"/>
              <w:gridCol w:w="642"/>
              <w:gridCol w:w="477"/>
              <w:gridCol w:w="626"/>
              <w:gridCol w:w="488"/>
              <w:gridCol w:w="636"/>
              <w:gridCol w:w="491"/>
              <w:gridCol w:w="627"/>
              <w:gridCol w:w="483"/>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vMerge w:val="restart"/>
                  <w:tcMar>
                    <w:top w:w="15" w:type="dxa"/>
                    <w:left w:w="15" w:type="dxa"/>
                    <w:bottom w:w="15" w:type="dxa"/>
                    <w:right w:w="15" w:type="dxa"/>
                  </w:tcMar>
                  <w:vAlign w:val="center"/>
                </w:tcPr>
                <w:p>
                  <w:pPr>
                    <w:pStyle w:val="66"/>
                  </w:pPr>
                  <w:r>
                    <w:t>主要产噪设备</w:t>
                  </w:r>
                </w:p>
              </w:tc>
              <w:tc>
                <w:tcPr>
                  <w:tcW w:w="530" w:type="pct"/>
                  <w:vMerge w:val="restart"/>
                  <w:tcMar>
                    <w:top w:w="15" w:type="dxa"/>
                    <w:left w:w="15" w:type="dxa"/>
                    <w:bottom w:w="15" w:type="dxa"/>
                    <w:right w:w="15" w:type="dxa"/>
                  </w:tcMar>
                  <w:vAlign w:val="center"/>
                </w:tcPr>
                <w:p>
                  <w:pPr>
                    <w:pStyle w:val="66"/>
                  </w:pPr>
                  <w:r>
                    <w:t>降噪后源强dB(A)</w:t>
                  </w:r>
                </w:p>
              </w:tc>
              <w:tc>
                <w:tcPr>
                  <w:tcW w:w="737" w:type="pct"/>
                  <w:gridSpan w:val="2"/>
                  <w:tcMar>
                    <w:top w:w="15" w:type="dxa"/>
                    <w:left w:w="15" w:type="dxa"/>
                    <w:bottom w:w="15" w:type="dxa"/>
                    <w:right w:w="15" w:type="dxa"/>
                  </w:tcMar>
                  <w:vAlign w:val="center"/>
                </w:tcPr>
                <w:p>
                  <w:pPr>
                    <w:pStyle w:val="66"/>
                  </w:pPr>
                  <w:r>
                    <w:t>东边界</w:t>
                  </w:r>
                </w:p>
              </w:tc>
              <w:tc>
                <w:tcPr>
                  <w:tcW w:w="744" w:type="pct"/>
                  <w:gridSpan w:val="2"/>
                  <w:tcMar>
                    <w:top w:w="15" w:type="dxa"/>
                    <w:left w:w="15" w:type="dxa"/>
                    <w:bottom w:w="15" w:type="dxa"/>
                    <w:right w:w="15" w:type="dxa"/>
                  </w:tcMar>
                  <w:vAlign w:val="center"/>
                </w:tcPr>
                <w:p>
                  <w:pPr>
                    <w:pStyle w:val="66"/>
                  </w:pPr>
                  <w:r>
                    <w:rPr>
                      <w:rFonts w:hint="eastAsia"/>
                    </w:rPr>
                    <w:t>南</w:t>
                  </w:r>
                  <w:r>
                    <w:t>边界</w:t>
                  </w:r>
                </w:p>
              </w:tc>
              <w:tc>
                <w:tcPr>
                  <w:tcW w:w="758" w:type="pct"/>
                  <w:gridSpan w:val="2"/>
                  <w:tcMar>
                    <w:top w:w="15" w:type="dxa"/>
                    <w:left w:w="15" w:type="dxa"/>
                    <w:bottom w:w="15" w:type="dxa"/>
                    <w:right w:w="15" w:type="dxa"/>
                  </w:tcMar>
                  <w:vAlign w:val="center"/>
                </w:tcPr>
                <w:p>
                  <w:pPr>
                    <w:pStyle w:val="66"/>
                  </w:pPr>
                  <w:r>
                    <w:rPr>
                      <w:rFonts w:hint="eastAsia"/>
                    </w:rPr>
                    <w:t>西</w:t>
                  </w:r>
                  <w:r>
                    <w:t>边界</w:t>
                  </w:r>
                </w:p>
              </w:tc>
              <w:tc>
                <w:tcPr>
                  <w:tcW w:w="754" w:type="pct"/>
                  <w:gridSpan w:val="2"/>
                  <w:tcMar>
                    <w:top w:w="15" w:type="dxa"/>
                    <w:left w:w="15" w:type="dxa"/>
                    <w:bottom w:w="15" w:type="dxa"/>
                    <w:right w:w="15" w:type="dxa"/>
                  </w:tcMar>
                  <w:vAlign w:val="center"/>
                </w:tcPr>
                <w:p>
                  <w:pPr>
                    <w:pStyle w:val="66"/>
                  </w:pPr>
                  <w:r>
                    <w:t>北边界</w:t>
                  </w:r>
                </w:p>
              </w:tc>
              <w:tc>
                <w:tcPr>
                  <w:tcW w:w="873" w:type="pct"/>
                  <w:gridSpan w:val="2"/>
                  <w:vAlign w:val="center"/>
                </w:tcPr>
                <w:p>
                  <w:pPr>
                    <w:pStyle w:val="66"/>
                  </w:pPr>
                  <w:r>
                    <w:rPr>
                      <w:rFonts w:hint="eastAsia"/>
                      <w:lang w:eastAsia="zh-CN"/>
                    </w:rPr>
                    <w:t>圆梦园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vMerge w:val="continue"/>
                  <w:vAlign w:val="center"/>
                </w:tcPr>
                <w:p>
                  <w:pPr>
                    <w:pStyle w:val="66"/>
                  </w:pPr>
                </w:p>
              </w:tc>
              <w:tc>
                <w:tcPr>
                  <w:tcW w:w="530" w:type="pct"/>
                  <w:vMerge w:val="continue"/>
                  <w:vAlign w:val="center"/>
                </w:tcPr>
                <w:p>
                  <w:pPr>
                    <w:pStyle w:val="66"/>
                  </w:pPr>
                </w:p>
              </w:tc>
              <w:tc>
                <w:tcPr>
                  <w:tcW w:w="304" w:type="pct"/>
                  <w:tcMar>
                    <w:top w:w="15" w:type="dxa"/>
                    <w:left w:w="15" w:type="dxa"/>
                    <w:bottom w:w="15" w:type="dxa"/>
                    <w:right w:w="15" w:type="dxa"/>
                  </w:tcMar>
                  <w:vAlign w:val="center"/>
                </w:tcPr>
                <w:p>
                  <w:pPr>
                    <w:pStyle w:val="66"/>
                  </w:pPr>
                  <w:r>
                    <w:t>距离/m</w:t>
                  </w:r>
                </w:p>
              </w:tc>
              <w:tc>
                <w:tcPr>
                  <w:tcW w:w="433" w:type="pct"/>
                  <w:tcMar>
                    <w:top w:w="15" w:type="dxa"/>
                    <w:left w:w="15" w:type="dxa"/>
                    <w:bottom w:w="15" w:type="dxa"/>
                    <w:right w:w="15" w:type="dxa"/>
                  </w:tcMar>
                  <w:vAlign w:val="center"/>
                </w:tcPr>
                <w:p>
                  <w:pPr>
                    <w:pStyle w:val="66"/>
                  </w:pPr>
                  <w:r>
                    <w:t>贡献值/dB(A)</w:t>
                  </w:r>
                </w:p>
              </w:tc>
              <w:tc>
                <w:tcPr>
                  <w:tcW w:w="322" w:type="pct"/>
                  <w:tcMar>
                    <w:top w:w="15" w:type="dxa"/>
                    <w:left w:w="15" w:type="dxa"/>
                    <w:bottom w:w="15" w:type="dxa"/>
                    <w:right w:w="15" w:type="dxa"/>
                  </w:tcMar>
                  <w:vAlign w:val="center"/>
                </w:tcPr>
                <w:p>
                  <w:pPr>
                    <w:pStyle w:val="66"/>
                  </w:pPr>
                  <w:r>
                    <w:t>距离/m</w:t>
                  </w:r>
                </w:p>
              </w:tc>
              <w:tc>
                <w:tcPr>
                  <w:tcW w:w="422" w:type="pct"/>
                  <w:tcMar>
                    <w:top w:w="15" w:type="dxa"/>
                    <w:left w:w="15" w:type="dxa"/>
                    <w:bottom w:w="15" w:type="dxa"/>
                    <w:right w:w="15" w:type="dxa"/>
                  </w:tcMar>
                  <w:vAlign w:val="center"/>
                </w:tcPr>
                <w:p>
                  <w:pPr>
                    <w:pStyle w:val="66"/>
                  </w:pPr>
                  <w:r>
                    <w:rPr>
                      <w:rFonts w:hint="eastAsia"/>
                    </w:rPr>
                    <w:t>贡献值</w:t>
                  </w:r>
                  <w:r>
                    <w:t>/dB(A)</w:t>
                  </w:r>
                </w:p>
              </w:tc>
              <w:tc>
                <w:tcPr>
                  <w:tcW w:w="329" w:type="pct"/>
                  <w:tcMar>
                    <w:top w:w="15" w:type="dxa"/>
                    <w:left w:w="15" w:type="dxa"/>
                    <w:bottom w:w="15" w:type="dxa"/>
                    <w:right w:w="15" w:type="dxa"/>
                  </w:tcMar>
                  <w:vAlign w:val="center"/>
                </w:tcPr>
                <w:p>
                  <w:pPr>
                    <w:pStyle w:val="66"/>
                  </w:pPr>
                  <w:r>
                    <w:t>距离/m</w:t>
                  </w:r>
                </w:p>
              </w:tc>
              <w:tc>
                <w:tcPr>
                  <w:tcW w:w="429" w:type="pct"/>
                  <w:tcMar>
                    <w:top w:w="15" w:type="dxa"/>
                    <w:left w:w="15" w:type="dxa"/>
                    <w:bottom w:w="15" w:type="dxa"/>
                    <w:right w:w="15" w:type="dxa"/>
                  </w:tcMar>
                  <w:vAlign w:val="center"/>
                </w:tcPr>
                <w:p>
                  <w:pPr>
                    <w:pStyle w:val="66"/>
                  </w:pPr>
                  <w:r>
                    <w:t>贡献值/dB(A)</w:t>
                  </w:r>
                </w:p>
              </w:tc>
              <w:tc>
                <w:tcPr>
                  <w:tcW w:w="331" w:type="pct"/>
                  <w:tcMar>
                    <w:top w:w="15" w:type="dxa"/>
                    <w:left w:w="15" w:type="dxa"/>
                    <w:bottom w:w="15" w:type="dxa"/>
                    <w:right w:w="15" w:type="dxa"/>
                  </w:tcMar>
                  <w:vAlign w:val="center"/>
                </w:tcPr>
                <w:p>
                  <w:pPr>
                    <w:pStyle w:val="66"/>
                  </w:pPr>
                  <w:r>
                    <w:t>距离/m</w:t>
                  </w:r>
                </w:p>
              </w:tc>
              <w:tc>
                <w:tcPr>
                  <w:tcW w:w="423" w:type="pct"/>
                  <w:tcMar>
                    <w:top w:w="15" w:type="dxa"/>
                    <w:left w:w="15" w:type="dxa"/>
                    <w:bottom w:w="15" w:type="dxa"/>
                    <w:right w:w="15" w:type="dxa"/>
                  </w:tcMar>
                  <w:vAlign w:val="center"/>
                </w:tcPr>
                <w:p>
                  <w:pPr>
                    <w:pStyle w:val="66"/>
                  </w:pPr>
                  <w:r>
                    <w:t>贡献值/dB(A)</w:t>
                  </w:r>
                </w:p>
              </w:tc>
              <w:tc>
                <w:tcPr>
                  <w:tcW w:w="326" w:type="pct"/>
                  <w:vAlign w:val="center"/>
                </w:tcPr>
                <w:p>
                  <w:pPr>
                    <w:pStyle w:val="66"/>
                  </w:pPr>
                  <w:r>
                    <w:t>距离/m</w:t>
                  </w:r>
                </w:p>
              </w:tc>
              <w:tc>
                <w:tcPr>
                  <w:tcW w:w="547" w:type="pct"/>
                  <w:vAlign w:val="center"/>
                </w:tcPr>
                <w:p>
                  <w:pPr>
                    <w:pStyle w:val="66"/>
                  </w:pPr>
                  <w:r>
                    <w:t>贡献值/dB(A)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Mar>
                    <w:top w:w="15" w:type="dxa"/>
                    <w:left w:w="15" w:type="dxa"/>
                    <w:bottom w:w="15" w:type="dxa"/>
                    <w:right w:w="15" w:type="dxa"/>
                  </w:tcMar>
                  <w:vAlign w:val="center"/>
                </w:tcPr>
                <w:p>
                  <w:pPr>
                    <w:pStyle w:val="66"/>
                  </w:pPr>
                  <w:r>
                    <w:rPr>
                      <w:rFonts w:hint="eastAsia"/>
                      <w:lang w:val="en-US" w:eastAsia="zh-CN"/>
                    </w:rPr>
                    <w:t>纯水机</w:t>
                  </w:r>
                </w:p>
              </w:tc>
              <w:tc>
                <w:tcPr>
                  <w:tcW w:w="530" w:type="pct"/>
                  <w:tcMar>
                    <w:top w:w="15" w:type="dxa"/>
                    <w:left w:w="15" w:type="dxa"/>
                    <w:bottom w:w="15" w:type="dxa"/>
                    <w:right w:w="15" w:type="dxa"/>
                  </w:tcMar>
                  <w:vAlign w:val="center"/>
                </w:tcPr>
                <w:p>
                  <w:pPr>
                    <w:pStyle w:val="66"/>
                  </w:pPr>
                  <w:r>
                    <w:rPr>
                      <w:rFonts w:hint="eastAsia"/>
                      <w:lang w:val="en-US" w:eastAsia="zh-CN"/>
                    </w:rPr>
                    <w:t>5</w:t>
                  </w:r>
                  <w:r>
                    <w:rPr>
                      <w:lang w:val="en-US" w:eastAsia="zh-CN"/>
                    </w:rPr>
                    <w:t>0</w:t>
                  </w:r>
                </w:p>
              </w:tc>
              <w:tc>
                <w:tcPr>
                  <w:tcW w:w="304" w:type="pct"/>
                  <w:tcMar>
                    <w:top w:w="15" w:type="dxa"/>
                    <w:left w:w="15" w:type="dxa"/>
                    <w:bottom w:w="15" w:type="dxa"/>
                    <w:right w:w="15" w:type="dxa"/>
                  </w:tcMar>
                  <w:vAlign w:val="center"/>
                </w:tcPr>
                <w:p>
                  <w:pPr>
                    <w:pStyle w:val="66"/>
                    <w:rPr>
                      <w:lang w:eastAsia="zh-CN"/>
                    </w:rPr>
                  </w:pPr>
                  <w:r>
                    <w:rPr>
                      <w:rFonts w:hint="eastAsia"/>
                      <w:lang w:eastAsia="zh-CN"/>
                    </w:rPr>
                    <w:t>7</w:t>
                  </w:r>
                  <w:r>
                    <w:rPr>
                      <w:lang w:eastAsia="zh-CN"/>
                    </w:rPr>
                    <w:t>6</w:t>
                  </w:r>
                </w:p>
              </w:tc>
              <w:tc>
                <w:tcPr>
                  <w:tcW w:w="433" w:type="pct"/>
                  <w:tcMar>
                    <w:top w:w="15" w:type="dxa"/>
                    <w:left w:w="15" w:type="dxa"/>
                    <w:bottom w:w="15" w:type="dxa"/>
                    <w:right w:w="15" w:type="dxa"/>
                  </w:tcMar>
                  <w:vAlign w:val="center"/>
                </w:tcPr>
                <w:p>
                  <w:pPr>
                    <w:pStyle w:val="66"/>
                    <w:rPr>
                      <w:lang w:eastAsia="zh-CN"/>
                    </w:rPr>
                  </w:pPr>
                  <w:r>
                    <w:rPr>
                      <w:rFonts w:hint="eastAsia"/>
                      <w:lang w:eastAsia="zh-CN"/>
                    </w:rPr>
                    <w:t>1</w:t>
                  </w:r>
                  <w:r>
                    <w:rPr>
                      <w:lang w:eastAsia="zh-CN"/>
                    </w:rPr>
                    <w:t>2.38</w:t>
                  </w:r>
                </w:p>
              </w:tc>
              <w:tc>
                <w:tcPr>
                  <w:tcW w:w="322" w:type="pct"/>
                  <w:tcMar>
                    <w:top w:w="15" w:type="dxa"/>
                    <w:left w:w="15" w:type="dxa"/>
                    <w:bottom w:w="15" w:type="dxa"/>
                    <w:right w:w="15" w:type="dxa"/>
                  </w:tcMar>
                  <w:vAlign w:val="center"/>
                </w:tcPr>
                <w:p>
                  <w:pPr>
                    <w:pStyle w:val="66"/>
                    <w:rPr>
                      <w:lang w:eastAsia="zh-CN"/>
                    </w:rPr>
                  </w:pPr>
                  <w:r>
                    <w:rPr>
                      <w:rFonts w:hint="eastAsia"/>
                      <w:lang w:eastAsia="zh-CN"/>
                    </w:rPr>
                    <w:t>6</w:t>
                  </w:r>
                  <w:r>
                    <w:rPr>
                      <w:lang w:eastAsia="zh-CN"/>
                    </w:rPr>
                    <w:t>0</w:t>
                  </w:r>
                </w:p>
              </w:tc>
              <w:tc>
                <w:tcPr>
                  <w:tcW w:w="422" w:type="pct"/>
                  <w:tcMar>
                    <w:top w:w="15" w:type="dxa"/>
                    <w:left w:w="15" w:type="dxa"/>
                    <w:bottom w:w="15" w:type="dxa"/>
                    <w:right w:w="15" w:type="dxa"/>
                  </w:tcMar>
                  <w:vAlign w:val="center"/>
                </w:tcPr>
                <w:p>
                  <w:pPr>
                    <w:pStyle w:val="66"/>
                    <w:rPr>
                      <w:lang w:eastAsia="zh-CN"/>
                    </w:rPr>
                  </w:pPr>
                  <w:r>
                    <w:rPr>
                      <w:rFonts w:hint="eastAsia"/>
                      <w:lang w:eastAsia="zh-CN"/>
                    </w:rPr>
                    <w:t>1</w:t>
                  </w:r>
                  <w:r>
                    <w:rPr>
                      <w:lang w:eastAsia="zh-CN"/>
                    </w:rPr>
                    <w:t>4.4</w:t>
                  </w:r>
                </w:p>
              </w:tc>
              <w:tc>
                <w:tcPr>
                  <w:tcW w:w="329" w:type="pct"/>
                  <w:tcMar>
                    <w:top w:w="15" w:type="dxa"/>
                    <w:left w:w="15" w:type="dxa"/>
                    <w:bottom w:w="15" w:type="dxa"/>
                    <w:right w:w="15" w:type="dxa"/>
                  </w:tcMar>
                  <w:vAlign w:val="center"/>
                </w:tcPr>
                <w:p>
                  <w:pPr>
                    <w:pStyle w:val="66"/>
                    <w:rPr>
                      <w:lang w:eastAsia="zh-CN"/>
                    </w:rPr>
                  </w:pPr>
                  <w:r>
                    <w:rPr>
                      <w:rFonts w:hint="eastAsia"/>
                      <w:lang w:eastAsia="zh-CN"/>
                    </w:rPr>
                    <w:t>9</w:t>
                  </w:r>
                  <w:r>
                    <w:rPr>
                      <w:lang w:eastAsia="zh-CN"/>
                    </w:rPr>
                    <w:t>2</w:t>
                  </w:r>
                </w:p>
              </w:tc>
              <w:tc>
                <w:tcPr>
                  <w:tcW w:w="429" w:type="pct"/>
                  <w:tcMar>
                    <w:top w:w="15" w:type="dxa"/>
                    <w:left w:w="15" w:type="dxa"/>
                    <w:bottom w:w="15" w:type="dxa"/>
                    <w:right w:w="15" w:type="dxa"/>
                  </w:tcMar>
                  <w:vAlign w:val="center"/>
                </w:tcPr>
                <w:p>
                  <w:pPr>
                    <w:pStyle w:val="66"/>
                    <w:rPr>
                      <w:lang w:eastAsia="zh-CN"/>
                    </w:rPr>
                  </w:pPr>
                  <w:r>
                    <w:rPr>
                      <w:rFonts w:hint="eastAsia"/>
                      <w:lang w:eastAsia="zh-CN"/>
                    </w:rPr>
                    <w:t>1</w:t>
                  </w:r>
                  <w:r>
                    <w:rPr>
                      <w:lang w:eastAsia="zh-CN"/>
                    </w:rPr>
                    <w:t>0.7</w:t>
                  </w:r>
                </w:p>
              </w:tc>
              <w:tc>
                <w:tcPr>
                  <w:tcW w:w="331" w:type="pct"/>
                  <w:tcMar>
                    <w:top w:w="15" w:type="dxa"/>
                    <w:left w:w="15" w:type="dxa"/>
                    <w:bottom w:w="15" w:type="dxa"/>
                    <w:right w:w="15" w:type="dxa"/>
                  </w:tcMar>
                  <w:vAlign w:val="center"/>
                </w:tcPr>
                <w:p>
                  <w:pPr>
                    <w:pStyle w:val="66"/>
                    <w:rPr>
                      <w:lang w:eastAsia="zh-CN"/>
                    </w:rPr>
                  </w:pPr>
                  <w:r>
                    <w:rPr>
                      <w:lang w:eastAsia="zh-CN"/>
                    </w:rPr>
                    <w:t>11</w:t>
                  </w:r>
                </w:p>
              </w:tc>
              <w:tc>
                <w:tcPr>
                  <w:tcW w:w="423" w:type="pct"/>
                  <w:tcMar>
                    <w:top w:w="15" w:type="dxa"/>
                    <w:left w:w="15" w:type="dxa"/>
                    <w:bottom w:w="15" w:type="dxa"/>
                    <w:right w:w="15" w:type="dxa"/>
                  </w:tcMar>
                  <w:vAlign w:val="center"/>
                </w:tcPr>
                <w:p>
                  <w:pPr>
                    <w:pStyle w:val="66"/>
                    <w:rPr>
                      <w:lang w:eastAsia="zh-CN"/>
                    </w:rPr>
                  </w:pPr>
                  <w:r>
                    <w:rPr>
                      <w:rFonts w:hint="eastAsia"/>
                      <w:lang w:eastAsia="zh-CN"/>
                    </w:rPr>
                    <w:t>2</w:t>
                  </w:r>
                  <w:r>
                    <w:rPr>
                      <w:lang w:eastAsia="zh-CN"/>
                    </w:rPr>
                    <w:t>9.2</w:t>
                  </w:r>
                </w:p>
              </w:tc>
              <w:tc>
                <w:tcPr>
                  <w:tcW w:w="326" w:type="pct"/>
                  <w:vAlign w:val="center"/>
                </w:tcPr>
                <w:p>
                  <w:pPr>
                    <w:pStyle w:val="66"/>
                    <w:rPr>
                      <w:lang w:eastAsia="zh-CN"/>
                    </w:rPr>
                  </w:pPr>
                  <w:r>
                    <w:rPr>
                      <w:rFonts w:hint="eastAsia"/>
                      <w:lang w:eastAsia="zh-CN"/>
                    </w:rPr>
                    <w:t>1</w:t>
                  </w:r>
                  <w:r>
                    <w:rPr>
                      <w:lang w:eastAsia="zh-CN"/>
                    </w:rPr>
                    <w:t>8</w:t>
                  </w:r>
                </w:p>
              </w:tc>
              <w:tc>
                <w:tcPr>
                  <w:tcW w:w="547" w:type="pct"/>
                  <w:vAlign w:val="center"/>
                </w:tcPr>
                <w:p>
                  <w:pPr>
                    <w:pStyle w:val="66"/>
                    <w:rPr>
                      <w:lang w:eastAsia="zh-CN"/>
                    </w:rPr>
                  </w:pPr>
                  <w:r>
                    <w:rPr>
                      <w:rFonts w:hint="eastAsia"/>
                      <w:lang w:eastAsia="zh-CN"/>
                    </w:rPr>
                    <w:t>2</w:t>
                  </w:r>
                  <w:r>
                    <w:rPr>
                      <w:lang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Mar>
                    <w:top w:w="15" w:type="dxa"/>
                    <w:left w:w="15" w:type="dxa"/>
                    <w:bottom w:w="15" w:type="dxa"/>
                    <w:right w:w="15" w:type="dxa"/>
                  </w:tcMar>
                  <w:vAlign w:val="center"/>
                </w:tcPr>
                <w:p>
                  <w:pPr>
                    <w:pStyle w:val="66"/>
                  </w:pPr>
                  <w:r>
                    <w:rPr>
                      <w:rFonts w:hint="eastAsia"/>
                      <w:lang w:val="en-US" w:eastAsia="zh-CN"/>
                    </w:rPr>
                    <w:t>高压灭菌锅</w:t>
                  </w:r>
                </w:p>
              </w:tc>
              <w:tc>
                <w:tcPr>
                  <w:tcW w:w="530" w:type="pct"/>
                  <w:tcMar>
                    <w:top w:w="15" w:type="dxa"/>
                    <w:left w:w="15" w:type="dxa"/>
                    <w:bottom w:w="15" w:type="dxa"/>
                    <w:right w:w="15" w:type="dxa"/>
                  </w:tcMar>
                  <w:vAlign w:val="center"/>
                </w:tcPr>
                <w:p>
                  <w:pPr>
                    <w:pStyle w:val="66"/>
                  </w:pPr>
                  <w:r>
                    <w:rPr>
                      <w:rFonts w:hint="eastAsia"/>
                      <w:lang w:val="en-US" w:eastAsia="zh-CN"/>
                    </w:rPr>
                    <w:t>5</w:t>
                  </w:r>
                  <w:r>
                    <w:rPr>
                      <w:lang w:val="en-US" w:eastAsia="zh-CN"/>
                    </w:rPr>
                    <w:t>0</w:t>
                  </w:r>
                </w:p>
              </w:tc>
              <w:tc>
                <w:tcPr>
                  <w:tcW w:w="304" w:type="pct"/>
                  <w:tcMar>
                    <w:top w:w="15" w:type="dxa"/>
                    <w:left w:w="15" w:type="dxa"/>
                    <w:bottom w:w="15" w:type="dxa"/>
                    <w:right w:w="15" w:type="dxa"/>
                  </w:tcMar>
                  <w:vAlign w:val="center"/>
                </w:tcPr>
                <w:p>
                  <w:pPr>
                    <w:pStyle w:val="66"/>
                    <w:rPr>
                      <w:lang w:eastAsia="zh-CN"/>
                    </w:rPr>
                  </w:pPr>
                  <w:r>
                    <w:rPr>
                      <w:rFonts w:hint="eastAsia"/>
                      <w:lang w:eastAsia="zh-CN"/>
                    </w:rPr>
                    <w:t>8</w:t>
                  </w:r>
                  <w:r>
                    <w:rPr>
                      <w:lang w:eastAsia="zh-CN"/>
                    </w:rPr>
                    <w:t>6</w:t>
                  </w:r>
                </w:p>
              </w:tc>
              <w:tc>
                <w:tcPr>
                  <w:tcW w:w="433" w:type="pct"/>
                  <w:tcMar>
                    <w:top w:w="15" w:type="dxa"/>
                    <w:left w:w="15" w:type="dxa"/>
                    <w:bottom w:w="15" w:type="dxa"/>
                    <w:right w:w="15" w:type="dxa"/>
                  </w:tcMar>
                  <w:vAlign w:val="center"/>
                </w:tcPr>
                <w:p>
                  <w:pPr>
                    <w:pStyle w:val="66"/>
                    <w:rPr>
                      <w:lang w:eastAsia="zh-CN"/>
                    </w:rPr>
                  </w:pPr>
                  <w:r>
                    <w:rPr>
                      <w:rFonts w:hint="eastAsia"/>
                      <w:lang w:eastAsia="zh-CN"/>
                    </w:rPr>
                    <w:t>1</w:t>
                  </w:r>
                  <w:r>
                    <w:rPr>
                      <w:lang w:eastAsia="zh-CN"/>
                    </w:rPr>
                    <w:t>1.3</w:t>
                  </w:r>
                </w:p>
              </w:tc>
              <w:tc>
                <w:tcPr>
                  <w:tcW w:w="322" w:type="pct"/>
                  <w:tcMar>
                    <w:top w:w="15" w:type="dxa"/>
                    <w:left w:w="15" w:type="dxa"/>
                    <w:bottom w:w="15" w:type="dxa"/>
                    <w:right w:w="15" w:type="dxa"/>
                  </w:tcMar>
                  <w:vAlign w:val="center"/>
                </w:tcPr>
                <w:p>
                  <w:pPr>
                    <w:pStyle w:val="66"/>
                    <w:rPr>
                      <w:lang w:eastAsia="zh-CN"/>
                    </w:rPr>
                  </w:pPr>
                  <w:r>
                    <w:rPr>
                      <w:lang w:eastAsia="zh-CN"/>
                    </w:rPr>
                    <w:t>57</w:t>
                  </w:r>
                </w:p>
              </w:tc>
              <w:tc>
                <w:tcPr>
                  <w:tcW w:w="422" w:type="pct"/>
                  <w:tcMar>
                    <w:top w:w="15" w:type="dxa"/>
                    <w:left w:w="15" w:type="dxa"/>
                    <w:bottom w:w="15" w:type="dxa"/>
                    <w:right w:w="15" w:type="dxa"/>
                  </w:tcMar>
                  <w:vAlign w:val="center"/>
                </w:tcPr>
                <w:p>
                  <w:pPr>
                    <w:pStyle w:val="66"/>
                    <w:rPr>
                      <w:lang w:eastAsia="zh-CN"/>
                    </w:rPr>
                  </w:pPr>
                  <w:r>
                    <w:rPr>
                      <w:rFonts w:hint="eastAsia"/>
                      <w:lang w:eastAsia="zh-CN"/>
                    </w:rPr>
                    <w:t>1</w:t>
                  </w:r>
                  <w:r>
                    <w:rPr>
                      <w:lang w:eastAsia="zh-CN"/>
                    </w:rPr>
                    <w:t>4.9</w:t>
                  </w:r>
                </w:p>
              </w:tc>
              <w:tc>
                <w:tcPr>
                  <w:tcW w:w="329" w:type="pct"/>
                  <w:tcMar>
                    <w:top w:w="15" w:type="dxa"/>
                    <w:left w:w="15" w:type="dxa"/>
                    <w:bottom w:w="15" w:type="dxa"/>
                    <w:right w:w="15" w:type="dxa"/>
                  </w:tcMar>
                  <w:vAlign w:val="center"/>
                </w:tcPr>
                <w:p>
                  <w:pPr>
                    <w:pStyle w:val="66"/>
                    <w:rPr>
                      <w:lang w:eastAsia="zh-CN"/>
                    </w:rPr>
                  </w:pPr>
                  <w:r>
                    <w:rPr>
                      <w:rFonts w:hint="eastAsia"/>
                      <w:lang w:eastAsia="zh-CN"/>
                    </w:rPr>
                    <w:t>8</w:t>
                  </w:r>
                  <w:r>
                    <w:rPr>
                      <w:lang w:eastAsia="zh-CN"/>
                    </w:rPr>
                    <w:t>2</w:t>
                  </w:r>
                </w:p>
              </w:tc>
              <w:tc>
                <w:tcPr>
                  <w:tcW w:w="429" w:type="pct"/>
                  <w:tcMar>
                    <w:top w:w="15" w:type="dxa"/>
                    <w:left w:w="15" w:type="dxa"/>
                    <w:bottom w:w="15" w:type="dxa"/>
                    <w:right w:w="15" w:type="dxa"/>
                  </w:tcMar>
                  <w:vAlign w:val="center"/>
                </w:tcPr>
                <w:p>
                  <w:pPr>
                    <w:pStyle w:val="66"/>
                    <w:rPr>
                      <w:lang w:eastAsia="zh-CN"/>
                    </w:rPr>
                  </w:pPr>
                  <w:r>
                    <w:rPr>
                      <w:rFonts w:hint="eastAsia"/>
                      <w:lang w:eastAsia="zh-CN"/>
                    </w:rPr>
                    <w:t>1</w:t>
                  </w:r>
                  <w:r>
                    <w:rPr>
                      <w:lang w:eastAsia="zh-CN"/>
                    </w:rPr>
                    <w:t>1.7</w:t>
                  </w:r>
                </w:p>
              </w:tc>
              <w:tc>
                <w:tcPr>
                  <w:tcW w:w="331" w:type="pct"/>
                  <w:tcMar>
                    <w:top w:w="15" w:type="dxa"/>
                    <w:left w:w="15" w:type="dxa"/>
                    <w:bottom w:w="15" w:type="dxa"/>
                    <w:right w:w="15" w:type="dxa"/>
                  </w:tcMar>
                  <w:vAlign w:val="center"/>
                </w:tcPr>
                <w:p>
                  <w:pPr>
                    <w:pStyle w:val="66"/>
                    <w:rPr>
                      <w:lang w:eastAsia="zh-CN"/>
                    </w:rPr>
                  </w:pPr>
                  <w:r>
                    <w:rPr>
                      <w:lang w:eastAsia="zh-CN"/>
                    </w:rPr>
                    <w:t>11</w:t>
                  </w:r>
                </w:p>
              </w:tc>
              <w:tc>
                <w:tcPr>
                  <w:tcW w:w="423" w:type="pct"/>
                  <w:tcMar>
                    <w:top w:w="15" w:type="dxa"/>
                    <w:left w:w="15" w:type="dxa"/>
                    <w:bottom w:w="15" w:type="dxa"/>
                    <w:right w:w="15" w:type="dxa"/>
                  </w:tcMar>
                  <w:vAlign w:val="center"/>
                </w:tcPr>
                <w:p>
                  <w:pPr>
                    <w:pStyle w:val="66"/>
                    <w:rPr>
                      <w:lang w:eastAsia="zh-CN"/>
                    </w:rPr>
                  </w:pPr>
                  <w:r>
                    <w:rPr>
                      <w:rFonts w:hint="eastAsia"/>
                      <w:lang w:eastAsia="zh-CN"/>
                    </w:rPr>
                    <w:t>2</w:t>
                  </w:r>
                  <w:r>
                    <w:rPr>
                      <w:lang w:eastAsia="zh-CN"/>
                    </w:rPr>
                    <w:t>9.2</w:t>
                  </w:r>
                </w:p>
              </w:tc>
              <w:tc>
                <w:tcPr>
                  <w:tcW w:w="326" w:type="pct"/>
                  <w:vAlign w:val="center"/>
                </w:tcPr>
                <w:p>
                  <w:pPr>
                    <w:pStyle w:val="66"/>
                    <w:rPr>
                      <w:lang w:eastAsia="zh-CN"/>
                    </w:rPr>
                  </w:pPr>
                  <w:r>
                    <w:rPr>
                      <w:rFonts w:hint="eastAsia"/>
                      <w:lang w:eastAsia="zh-CN"/>
                    </w:rPr>
                    <w:t>2</w:t>
                  </w:r>
                  <w:r>
                    <w:rPr>
                      <w:lang w:eastAsia="zh-CN"/>
                    </w:rPr>
                    <w:t>8</w:t>
                  </w:r>
                </w:p>
              </w:tc>
              <w:tc>
                <w:tcPr>
                  <w:tcW w:w="547" w:type="pct"/>
                  <w:vAlign w:val="center"/>
                </w:tcPr>
                <w:p>
                  <w:pPr>
                    <w:pStyle w:val="66"/>
                    <w:rPr>
                      <w:lang w:eastAsia="zh-CN"/>
                    </w:rPr>
                  </w:pPr>
                  <w:r>
                    <w:rPr>
                      <w:rFonts w:hint="eastAsia"/>
                      <w:lang w:eastAsia="zh-CN"/>
                    </w:rPr>
                    <w:t>2</w:t>
                  </w:r>
                  <w:r>
                    <w:rPr>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Mar>
                    <w:top w:w="15" w:type="dxa"/>
                    <w:left w:w="15" w:type="dxa"/>
                    <w:bottom w:w="15" w:type="dxa"/>
                    <w:right w:w="15" w:type="dxa"/>
                  </w:tcMar>
                  <w:vAlign w:val="center"/>
                </w:tcPr>
                <w:p>
                  <w:pPr>
                    <w:pStyle w:val="66"/>
                  </w:pPr>
                  <w:r>
                    <w:rPr>
                      <w:rFonts w:hint="eastAsia"/>
                      <w:lang w:val="en-US" w:eastAsia="zh-CN"/>
                    </w:rPr>
                    <w:t>台式高速离心机</w:t>
                  </w:r>
                </w:p>
              </w:tc>
              <w:tc>
                <w:tcPr>
                  <w:tcW w:w="530" w:type="pct"/>
                  <w:tcMar>
                    <w:top w:w="15" w:type="dxa"/>
                    <w:left w:w="15" w:type="dxa"/>
                    <w:bottom w:w="15" w:type="dxa"/>
                    <w:right w:w="15" w:type="dxa"/>
                  </w:tcMar>
                  <w:vAlign w:val="center"/>
                </w:tcPr>
                <w:p>
                  <w:pPr>
                    <w:pStyle w:val="66"/>
                  </w:pPr>
                  <w:r>
                    <w:rPr>
                      <w:lang w:val="en-US" w:eastAsia="zh-CN"/>
                    </w:rPr>
                    <w:t>64.84</w:t>
                  </w:r>
                </w:p>
              </w:tc>
              <w:tc>
                <w:tcPr>
                  <w:tcW w:w="304" w:type="pct"/>
                  <w:tcMar>
                    <w:top w:w="15" w:type="dxa"/>
                    <w:left w:w="15" w:type="dxa"/>
                    <w:bottom w:w="15" w:type="dxa"/>
                    <w:right w:w="15" w:type="dxa"/>
                  </w:tcMar>
                  <w:vAlign w:val="center"/>
                </w:tcPr>
                <w:p>
                  <w:pPr>
                    <w:pStyle w:val="66"/>
                    <w:rPr>
                      <w:lang w:eastAsia="zh-CN"/>
                    </w:rPr>
                  </w:pPr>
                  <w:r>
                    <w:rPr>
                      <w:lang w:eastAsia="zh-CN"/>
                    </w:rPr>
                    <w:t>103</w:t>
                  </w:r>
                </w:p>
              </w:tc>
              <w:tc>
                <w:tcPr>
                  <w:tcW w:w="433" w:type="pct"/>
                  <w:tcMar>
                    <w:top w:w="15" w:type="dxa"/>
                    <w:left w:w="15" w:type="dxa"/>
                    <w:bottom w:w="15" w:type="dxa"/>
                    <w:right w:w="15" w:type="dxa"/>
                  </w:tcMar>
                  <w:vAlign w:val="center"/>
                </w:tcPr>
                <w:p>
                  <w:pPr>
                    <w:pStyle w:val="66"/>
                    <w:rPr>
                      <w:lang w:eastAsia="zh-CN"/>
                    </w:rPr>
                  </w:pPr>
                  <w:r>
                    <w:rPr>
                      <w:rFonts w:hint="eastAsia"/>
                      <w:lang w:eastAsia="zh-CN"/>
                    </w:rPr>
                    <w:t>2</w:t>
                  </w:r>
                  <w:r>
                    <w:rPr>
                      <w:lang w:eastAsia="zh-CN"/>
                    </w:rPr>
                    <w:t>4.6</w:t>
                  </w:r>
                </w:p>
              </w:tc>
              <w:tc>
                <w:tcPr>
                  <w:tcW w:w="322" w:type="pct"/>
                  <w:tcMar>
                    <w:top w:w="15" w:type="dxa"/>
                    <w:left w:w="15" w:type="dxa"/>
                    <w:bottom w:w="15" w:type="dxa"/>
                    <w:right w:w="15" w:type="dxa"/>
                  </w:tcMar>
                  <w:vAlign w:val="center"/>
                </w:tcPr>
                <w:p>
                  <w:pPr>
                    <w:pStyle w:val="66"/>
                    <w:rPr>
                      <w:lang w:eastAsia="zh-CN"/>
                    </w:rPr>
                  </w:pPr>
                  <w:r>
                    <w:rPr>
                      <w:rFonts w:hint="eastAsia"/>
                      <w:lang w:eastAsia="zh-CN"/>
                    </w:rPr>
                    <w:t>4</w:t>
                  </w:r>
                  <w:r>
                    <w:rPr>
                      <w:lang w:eastAsia="zh-CN"/>
                    </w:rPr>
                    <w:t>6</w:t>
                  </w:r>
                </w:p>
              </w:tc>
              <w:tc>
                <w:tcPr>
                  <w:tcW w:w="422" w:type="pct"/>
                  <w:tcMar>
                    <w:top w:w="15" w:type="dxa"/>
                    <w:left w:w="15" w:type="dxa"/>
                    <w:bottom w:w="15" w:type="dxa"/>
                    <w:right w:w="15" w:type="dxa"/>
                  </w:tcMar>
                  <w:vAlign w:val="center"/>
                </w:tcPr>
                <w:p>
                  <w:pPr>
                    <w:pStyle w:val="66"/>
                    <w:rPr>
                      <w:lang w:eastAsia="zh-CN"/>
                    </w:rPr>
                  </w:pPr>
                  <w:r>
                    <w:rPr>
                      <w:rFonts w:hint="eastAsia"/>
                      <w:lang w:eastAsia="zh-CN"/>
                    </w:rPr>
                    <w:t>3</w:t>
                  </w:r>
                  <w:r>
                    <w:rPr>
                      <w:lang w:eastAsia="zh-CN"/>
                    </w:rPr>
                    <w:t>1.6</w:t>
                  </w:r>
                </w:p>
              </w:tc>
              <w:tc>
                <w:tcPr>
                  <w:tcW w:w="329" w:type="pct"/>
                  <w:tcMar>
                    <w:top w:w="15" w:type="dxa"/>
                    <w:left w:w="15" w:type="dxa"/>
                    <w:bottom w:w="15" w:type="dxa"/>
                    <w:right w:w="15" w:type="dxa"/>
                  </w:tcMar>
                  <w:vAlign w:val="center"/>
                </w:tcPr>
                <w:p>
                  <w:pPr>
                    <w:pStyle w:val="66"/>
                    <w:rPr>
                      <w:lang w:eastAsia="zh-CN"/>
                    </w:rPr>
                  </w:pPr>
                  <w:r>
                    <w:rPr>
                      <w:rFonts w:hint="eastAsia"/>
                      <w:lang w:eastAsia="zh-CN"/>
                    </w:rPr>
                    <w:t>7</w:t>
                  </w:r>
                  <w:r>
                    <w:rPr>
                      <w:lang w:eastAsia="zh-CN"/>
                    </w:rPr>
                    <w:t>4</w:t>
                  </w:r>
                </w:p>
              </w:tc>
              <w:tc>
                <w:tcPr>
                  <w:tcW w:w="429" w:type="pct"/>
                  <w:tcMar>
                    <w:top w:w="15" w:type="dxa"/>
                    <w:left w:w="15" w:type="dxa"/>
                    <w:bottom w:w="15" w:type="dxa"/>
                    <w:right w:w="15" w:type="dxa"/>
                  </w:tcMar>
                  <w:vAlign w:val="center"/>
                </w:tcPr>
                <w:p>
                  <w:pPr>
                    <w:pStyle w:val="66"/>
                    <w:rPr>
                      <w:lang w:eastAsia="zh-CN"/>
                    </w:rPr>
                  </w:pPr>
                  <w:r>
                    <w:rPr>
                      <w:rFonts w:hint="eastAsia"/>
                      <w:lang w:eastAsia="zh-CN"/>
                    </w:rPr>
                    <w:t>2</w:t>
                  </w:r>
                  <w:r>
                    <w:rPr>
                      <w:lang w:eastAsia="zh-CN"/>
                    </w:rPr>
                    <w:t>7.5</w:t>
                  </w:r>
                </w:p>
              </w:tc>
              <w:tc>
                <w:tcPr>
                  <w:tcW w:w="331" w:type="pct"/>
                  <w:tcMar>
                    <w:top w:w="15" w:type="dxa"/>
                    <w:left w:w="15" w:type="dxa"/>
                    <w:bottom w:w="15" w:type="dxa"/>
                    <w:right w:w="15" w:type="dxa"/>
                  </w:tcMar>
                  <w:vAlign w:val="center"/>
                </w:tcPr>
                <w:p>
                  <w:pPr>
                    <w:pStyle w:val="66"/>
                    <w:rPr>
                      <w:lang w:eastAsia="zh-CN"/>
                    </w:rPr>
                  </w:pPr>
                  <w:r>
                    <w:rPr>
                      <w:rFonts w:hint="eastAsia"/>
                      <w:lang w:eastAsia="zh-CN"/>
                    </w:rPr>
                    <w:t>2</w:t>
                  </w:r>
                  <w:r>
                    <w:rPr>
                      <w:lang w:eastAsia="zh-CN"/>
                    </w:rPr>
                    <w:t>2</w:t>
                  </w:r>
                </w:p>
              </w:tc>
              <w:tc>
                <w:tcPr>
                  <w:tcW w:w="423" w:type="pct"/>
                  <w:tcMar>
                    <w:top w:w="15" w:type="dxa"/>
                    <w:left w:w="15" w:type="dxa"/>
                    <w:bottom w:w="15" w:type="dxa"/>
                    <w:right w:w="15" w:type="dxa"/>
                  </w:tcMar>
                  <w:vAlign w:val="center"/>
                </w:tcPr>
                <w:p>
                  <w:pPr>
                    <w:pStyle w:val="66"/>
                    <w:rPr>
                      <w:lang w:eastAsia="zh-CN"/>
                    </w:rPr>
                  </w:pPr>
                  <w:r>
                    <w:rPr>
                      <w:rFonts w:hint="eastAsia"/>
                      <w:lang w:eastAsia="zh-CN"/>
                    </w:rPr>
                    <w:t>3</w:t>
                  </w:r>
                  <w:r>
                    <w:rPr>
                      <w:lang w:eastAsia="zh-CN"/>
                    </w:rPr>
                    <w:t>8.0</w:t>
                  </w:r>
                </w:p>
              </w:tc>
              <w:tc>
                <w:tcPr>
                  <w:tcW w:w="326" w:type="pct"/>
                  <w:vAlign w:val="center"/>
                </w:tcPr>
                <w:p>
                  <w:pPr>
                    <w:pStyle w:val="66"/>
                    <w:rPr>
                      <w:lang w:eastAsia="zh-CN"/>
                    </w:rPr>
                  </w:pPr>
                  <w:r>
                    <w:rPr>
                      <w:lang w:eastAsia="zh-CN"/>
                    </w:rPr>
                    <w:t>30</w:t>
                  </w:r>
                </w:p>
              </w:tc>
              <w:tc>
                <w:tcPr>
                  <w:tcW w:w="547" w:type="pct"/>
                  <w:vAlign w:val="center"/>
                </w:tcPr>
                <w:p>
                  <w:pPr>
                    <w:pStyle w:val="66"/>
                    <w:rPr>
                      <w:lang w:eastAsia="zh-CN"/>
                    </w:rPr>
                  </w:pPr>
                  <w:r>
                    <w:rPr>
                      <w:lang w:eastAsia="zh-CN"/>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000000" w:sz="8" w:space="0"/>
                  </w:tcBorders>
                  <w:tcMar>
                    <w:top w:w="15" w:type="dxa"/>
                    <w:left w:w="15" w:type="dxa"/>
                    <w:bottom w:w="15" w:type="dxa"/>
                    <w:right w:w="15" w:type="dxa"/>
                  </w:tcMar>
                  <w:vAlign w:val="center"/>
                </w:tcPr>
                <w:p>
                  <w:pPr>
                    <w:pStyle w:val="66"/>
                  </w:pPr>
                  <w:r>
                    <w:rPr>
                      <w:rFonts w:hint="eastAsia"/>
                      <w:lang w:val="en-US" w:eastAsia="zh-CN"/>
                    </w:rPr>
                    <w:t>小型高速离心机</w:t>
                  </w:r>
                </w:p>
              </w:tc>
              <w:tc>
                <w:tcPr>
                  <w:tcW w:w="530"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5</w:t>
                  </w:r>
                  <w:r>
                    <w:rPr>
                      <w:lang w:val="en-US" w:eastAsia="zh-CN"/>
                    </w:rPr>
                    <w:t>5</w:t>
                  </w:r>
                </w:p>
              </w:tc>
              <w:tc>
                <w:tcPr>
                  <w:tcW w:w="304"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1</w:t>
                  </w:r>
                  <w:r>
                    <w:rPr>
                      <w:lang w:val="en-US" w:eastAsia="zh-CN"/>
                    </w:rPr>
                    <w:t>00</w:t>
                  </w:r>
                </w:p>
              </w:tc>
              <w:tc>
                <w:tcPr>
                  <w:tcW w:w="433"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1</w:t>
                  </w:r>
                  <w:r>
                    <w:rPr>
                      <w:lang w:val="en-US" w:eastAsia="zh-CN"/>
                    </w:rPr>
                    <w:t>5</w:t>
                  </w:r>
                </w:p>
              </w:tc>
              <w:tc>
                <w:tcPr>
                  <w:tcW w:w="322"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4</w:t>
                  </w:r>
                  <w:r>
                    <w:rPr>
                      <w:lang w:val="en-US" w:eastAsia="zh-CN"/>
                    </w:rPr>
                    <w:t>8</w:t>
                  </w:r>
                </w:p>
              </w:tc>
              <w:tc>
                <w:tcPr>
                  <w:tcW w:w="422"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2</w:t>
                  </w:r>
                  <w:r>
                    <w:rPr>
                      <w:lang w:val="en-US" w:eastAsia="zh-CN"/>
                    </w:rPr>
                    <w:t>1.4</w:t>
                  </w:r>
                </w:p>
              </w:tc>
              <w:tc>
                <w:tcPr>
                  <w:tcW w:w="329"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7</w:t>
                  </w:r>
                  <w:r>
                    <w:rPr>
                      <w:lang w:val="en-US" w:eastAsia="zh-CN"/>
                    </w:rPr>
                    <w:t>3</w:t>
                  </w:r>
                </w:p>
              </w:tc>
              <w:tc>
                <w:tcPr>
                  <w:tcW w:w="429"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1</w:t>
                  </w:r>
                  <w:r>
                    <w:rPr>
                      <w:lang w:val="en-US" w:eastAsia="zh-CN"/>
                    </w:rPr>
                    <w:t>7.7</w:t>
                  </w:r>
                </w:p>
              </w:tc>
              <w:tc>
                <w:tcPr>
                  <w:tcW w:w="331"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2</w:t>
                  </w:r>
                  <w:r>
                    <w:rPr>
                      <w:lang w:val="en-US" w:eastAsia="zh-CN"/>
                    </w:rPr>
                    <w:t>0</w:t>
                  </w:r>
                </w:p>
              </w:tc>
              <w:tc>
                <w:tcPr>
                  <w:tcW w:w="423" w:type="pct"/>
                  <w:tcBorders>
                    <w:top w:val="single" w:color="000000" w:sz="8" w:space="0"/>
                  </w:tcBorders>
                  <w:tcMar>
                    <w:top w:w="15" w:type="dxa"/>
                    <w:left w:w="15" w:type="dxa"/>
                    <w:bottom w:w="15" w:type="dxa"/>
                    <w:right w:w="15" w:type="dxa"/>
                  </w:tcMar>
                  <w:vAlign w:val="center"/>
                </w:tcPr>
                <w:p>
                  <w:pPr>
                    <w:pStyle w:val="66"/>
                    <w:rPr>
                      <w:lang w:val="en-US" w:eastAsia="zh-CN"/>
                    </w:rPr>
                  </w:pPr>
                  <w:r>
                    <w:rPr>
                      <w:lang w:val="en-US" w:eastAsia="zh-CN"/>
                    </w:rPr>
                    <w:t>29.0</w:t>
                  </w:r>
                </w:p>
              </w:tc>
              <w:tc>
                <w:tcPr>
                  <w:tcW w:w="326" w:type="pct"/>
                  <w:tcBorders>
                    <w:top w:val="single" w:color="000000" w:sz="8" w:space="0"/>
                  </w:tcBorders>
                  <w:vAlign w:val="center"/>
                </w:tcPr>
                <w:p>
                  <w:pPr>
                    <w:pStyle w:val="66"/>
                    <w:rPr>
                      <w:lang w:val="en-US" w:eastAsia="zh-CN"/>
                    </w:rPr>
                  </w:pPr>
                  <w:r>
                    <w:rPr>
                      <w:rFonts w:hint="eastAsia"/>
                      <w:lang w:val="en-US" w:eastAsia="zh-CN"/>
                    </w:rPr>
                    <w:t>2</w:t>
                  </w:r>
                  <w:r>
                    <w:rPr>
                      <w:lang w:val="en-US" w:eastAsia="zh-CN"/>
                    </w:rPr>
                    <w:t>4</w:t>
                  </w:r>
                </w:p>
              </w:tc>
              <w:tc>
                <w:tcPr>
                  <w:tcW w:w="547" w:type="pct"/>
                  <w:tcBorders>
                    <w:top w:val="single" w:color="000000" w:sz="8" w:space="0"/>
                  </w:tcBorders>
                  <w:vAlign w:val="center"/>
                </w:tcPr>
                <w:p>
                  <w:pPr>
                    <w:pStyle w:val="66"/>
                    <w:rPr>
                      <w:lang w:val="en-US" w:eastAsia="zh-CN"/>
                    </w:rPr>
                  </w:pPr>
                  <w:r>
                    <w:rPr>
                      <w:rFonts w:hint="eastAsia"/>
                      <w:lang w:val="en-US" w:eastAsia="zh-CN"/>
                    </w:rPr>
                    <w:t>2</w:t>
                  </w:r>
                  <w:r>
                    <w:rPr>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000000" w:sz="8" w:space="0"/>
                  </w:tcBorders>
                  <w:tcMar>
                    <w:top w:w="15" w:type="dxa"/>
                    <w:left w:w="15" w:type="dxa"/>
                    <w:bottom w:w="15" w:type="dxa"/>
                    <w:right w:w="15" w:type="dxa"/>
                  </w:tcMar>
                  <w:vAlign w:val="center"/>
                </w:tcPr>
                <w:p>
                  <w:pPr>
                    <w:pStyle w:val="66"/>
                  </w:pPr>
                  <w:r>
                    <w:rPr>
                      <w:rFonts w:hint="eastAsia"/>
                      <w:lang w:val="en-US" w:eastAsia="zh-CN"/>
                    </w:rPr>
                    <w:t>振动器</w:t>
                  </w:r>
                </w:p>
              </w:tc>
              <w:tc>
                <w:tcPr>
                  <w:tcW w:w="530"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5</w:t>
                  </w:r>
                  <w:r>
                    <w:rPr>
                      <w:lang w:val="en-US" w:eastAsia="zh-CN"/>
                    </w:rPr>
                    <w:t>0</w:t>
                  </w:r>
                </w:p>
              </w:tc>
              <w:tc>
                <w:tcPr>
                  <w:tcW w:w="304"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1</w:t>
                  </w:r>
                  <w:r>
                    <w:rPr>
                      <w:lang w:val="en-US" w:eastAsia="zh-CN"/>
                    </w:rPr>
                    <w:t>05</w:t>
                  </w:r>
                </w:p>
              </w:tc>
              <w:tc>
                <w:tcPr>
                  <w:tcW w:w="433"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9</w:t>
                  </w:r>
                  <w:r>
                    <w:rPr>
                      <w:lang w:val="en-US" w:eastAsia="zh-CN"/>
                    </w:rPr>
                    <w:t>.6</w:t>
                  </w:r>
                </w:p>
              </w:tc>
              <w:tc>
                <w:tcPr>
                  <w:tcW w:w="322"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5</w:t>
                  </w:r>
                  <w:r>
                    <w:rPr>
                      <w:lang w:val="en-US" w:eastAsia="zh-CN"/>
                    </w:rPr>
                    <w:t>7</w:t>
                  </w:r>
                </w:p>
              </w:tc>
              <w:tc>
                <w:tcPr>
                  <w:tcW w:w="422"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1</w:t>
                  </w:r>
                  <w:r>
                    <w:rPr>
                      <w:lang w:val="en-US" w:eastAsia="zh-CN"/>
                    </w:rPr>
                    <w:t>4.9</w:t>
                  </w:r>
                </w:p>
              </w:tc>
              <w:tc>
                <w:tcPr>
                  <w:tcW w:w="329"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6</w:t>
                  </w:r>
                  <w:r>
                    <w:rPr>
                      <w:lang w:val="en-US" w:eastAsia="zh-CN"/>
                    </w:rPr>
                    <w:t>4</w:t>
                  </w:r>
                </w:p>
              </w:tc>
              <w:tc>
                <w:tcPr>
                  <w:tcW w:w="429"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1</w:t>
                  </w:r>
                  <w:r>
                    <w:rPr>
                      <w:lang w:val="en-US" w:eastAsia="zh-CN"/>
                    </w:rPr>
                    <w:t>3.9</w:t>
                  </w:r>
                </w:p>
              </w:tc>
              <w:tc>
                <w:tcPr>
                  <w:tcW w:w="331"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1</w:t>
                  </w:r>
                  <w:r>
                    <w:rPr>
                      <w:lang w:val="en-US" w:eastAsia="zh-CN"/>
                    </w:rPr>
                    <w:t>2</w:t>
                  </w:r>
                </w:p>
              </w:tc>
              <w:tc>
                <w:tcPr>
                  <w:tcW w:w="423"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2</w:t>
                  </w:r>
                  <w:r>
                    <w:rPr>
                      <w:lang w:val="en-US" w:eastAsia="zh-CN"/>
                    </w:rPr>
                    <w:t>8.4</w:t>
                  </w:r>
                </w:p>
              </w:tc>
              <w:tc>
                <w:tcPr>
                  <w:tcW w:w="326" w:type="pct"/>
                  <w:tcBorders>
                    <w:top w:val="single" w:color="000000" w:sz="8" w:space="0"/>
                  </w:tcBorders>
                  <w:vAlign w:val="center"/>
                </w:tcPr>
                <w:p>
                  <w:pPr>
                    <w:pStyle w:val="66"/>
                    <w:rPr>
                      <w:lang w:val="en-US" w:eastAsia="zh-CN"/>
                    </w:rPr>
                  </w:pPr>
                  <w:r>
                    <w:rPr>
                      <w:lang w:val="en-US" w:eastAsia="zh-CN"/>
                    </w:rPr>
                    <w:t>2</w:t>
                  </w:r>
                  <w:r>
                    <w:rPr>
                      <w:rFonts w:hint="eastAsia"/>
                      <w:lang w:val="en-US" w:eastAsia="zh-CN"/>
                    </w:rPr>
                    <w:t>0</w:t>
                  </w:r>
                </w:p>
              </w:tc>
              <w:tc>
                <w:tcPr>
                  <w:tcW w:w="547" w:type="pct"/>
                  <w:tcBorders>
                    <w:top w:val="single" w:color="000000" w:sz="8" w:space="0"/>
                  </w:tcBorders>
                  <w:vAlign w:val="center"/>
                </w:tcPr>
                <w:p>
                  <w:pPr>
                    <w:pStyle w:val="66"/>
                    <w:rPr>
                      <w:lang w:val="en-US" w:eastAsia="zh-CN"/>
                    </w:rPr>
                  </w:pPr>
                  <w:r>
                    <w:rPr>
                      <w:rFonts w:hint="eastAsia"/>
                      <w:lang w:val="en-US" w:eastAsia="zh-CN"/>
                    </w:rPr>
                    <w:t>2</w:t>
                  </w:r>
                  <w:r>
                    <w:rPr>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空调机组</w:t>
                  </w:r>
                </w:p>
              </w:tc>
              <w:tc>
                <w:tcPr>
                  <w:tcW w:w="530" w:type="pct"/>
                  <w:tcBorders>
                    <w:top w:val="single" w:color="000000" w:sz="8" w:space="0"/>
                  </w:tcBorders>
                  <w:tcMar>
                    <w:top w:w="15" w:type="dxa"/>
                    <w:left w:w="15" w:type="dxa"/>
                    <w:bottom w:w="15" w:type="dxa"/>
                    <w:right w:w="15" w:type="dxa"/>
                  </w:tcMar>
                  <w:vAlign w:val="center"/>
                </w:tcPr>
                <w:p>
                  <w:pPr>
                    <w:pStyle w:val="66"/>
                    <w:rPr>
                      <w:lang w:val="en-US" w:eastAsia="zh-CN"/>
                    </w:rPr>
                  </w:pPr>
                  <w:r>
                    <w:rPr>
                      <w:lang w:val="en-US" w:eastAsia="zh-CN"/>
                    </w:rPr>
                    <w:t>69.54</w:t>
                  </w:r>
                </w:p>
              </w:tc>
              <w:tc>
                <w:tcPr>
                  <w:tcW w:w="304" w:type="pct"/>
                  <w:tcBorders>
                    <w:top w:val="single" w:color="000000" w:sz="8" w:space="0"/>
                  </w:tcBorders>
                  <w:tcMar>
                    <w:top w:w="15" w:type="dxa"/>
                    <w:left w:w="15" w:type="dxa"/>
                    <w:bottom w:w="15" w:type="dxa"/>
                    <w:right w:w="15" w:type="dxa"/>
                  </w:tcMar>
                  <w:vAlign w:val="center"/>
                </w:tcPr>
                <w:p>
                  <w:pPr>
                    <w:pStyle w:val="66"/>
                    <w:rPr>
                      <w:lang w:eastAsia="zh-CN"/>
                    </w:rPr>
                  </w:pPr>
                  <w:r>
                    <w:rPr>
                      <w:lang w:eastAsia="zh-CN"/>
                    </w:rPr>
                    <w:t>80</w:t>
                  </w:r>
                </w:p>
              </w:tc>
              <w:tc>
                <w:tcPr>
                  <w:tcW w:w="433"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3</w:t>
                  </w:r>
                  <w:r>
                    <w:rPr>
                      <w:lang w:val="en-US" w:eastAsia="zh-CN"/>
                    </w:rPr>
                    <w:t>3.1</w:t>
                  </w:r>
                </w:p>
              </w:tc>
              <w:tc>
                <w:tcPr>
                  <w:tcW w:w="322" w:type="pct"/>
                  <w:tcBorders>
                    <w:top w:val="single" w:color="000000" w:sz="8" w:space="0"/>
                  </w:tcBorders>
                  <w:tcMar>
                    <w:top w:w="15" w:type="dxa"/>
                    <w:left w:w="15" w:type="dxa"/>
                    <w:bottom w:w="15" w:type="dxa"/>
                    <w:right w:w="15" w:type="dxa"/>
                  </w:tcMar>
                  <w:vAlign w:val="center"/>
                </w:tcPr>
                <w:p>
                  <w:pPr>
                    <w:pStyle w:val="66"/>
                    <w:rPr>
                      <w:lang w:eastAsia="zh-CN"/>
                    </w:rPr>
                  </w:pPr>
                  <w:r>
                    <w:rPr>
                      <w:rFonts w:hint="eastAsia"/>
                      <w:lang w:eastAsia="zh-CN"/>
                    </w:rPr>
                    <w:t>6</w:t>
                  </w:r>
                  <w:r>
                    <w:rPr>
                      <w:lang w:eastAsia="zh-CN"/>
                    </w:rPr>
                    <w:t>0</w:t>
                  </w:r>
                </w:p>
              </w:tc>
              <w:tc>
                <w:tcPr>
                  <w:tcW w:w="422"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3</w:t>
                  </w:r>
                  <w:r>
                    <w:rPr>
                      <w:lang w:val="en-US" w:eastAsia="zh-CN"/>
                    </w:rPr>
                    <w:t>5.6</w:t>
                  </w:r>
                </w:p>
              </w:tc>
              <w:tc>
                <w:tcPr>
                  <w:tcW w:w="329" w:type="pct"/>
                  <w:tcBorders>
                    <w:top w:val="single" w:color="000000" w:sz="8" w:space="0"/>
                  </w:tcBorders>
                  <w:tcMar>
                    <w:top w:w="15" w:type="dxa"/>
                    <w:left w:w="15" w:type="dxa"/>
                    <w:bottom w:w="15" w:type="dxa"/>
                    <w:right w:w="15" w:type="dxa"/>
                  </w:tcMar>
                  <w:vAlign w:val="center"/>
                </w:tcPr>
                <w:p>
                  <w:pPr>
                    <w:pStyle w:val="66"/>
                    <w:rPr>
                      <w:lang w:eastAsia="zh-CN"/>
                    </w:rPr>
                  </w:pPr>
                  <w:r>
                    <w:rPr>
                      <w:lang w:eastAsia="zh-CN"/>
                    </w:rPr>
                    <w:t>90</w:t>
                  </w:r>
                </w:p>
              </w:tc>
              <w:tc>
                <w:tcPr>
                  <w:tcW w:w="429"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3</w:t>
                  </w:r>
                  <w:r>
                    <w:rPr>
                      <w:lang w:val="en-US" w:eastAsia="zh-CN"/>
                    </w:rPr>
                    <w:t>5.1</w:t>
                  </w:r>
                </w:p>
              </w:tc>
              <w:tc>
                <w:tcPr>
                  <w:tcW w:w="331" w:type="pct"/>
                  <w:tcBorders>
                    <w:top w:val="single" w:color="000000" w:sz="8" w:space="0"/>
                  </w:tcBorders>
                  <w:tcMar>
                    <w:top w:w="15" w:type="dxa"/>
                    <w:left w:w="15" w:type="dxa"/>
                    <w:bottom w:w="15" w:type="dxa"/>
                    <w:right w:w="15" w:type="dxa"/>
                  </w:tcMar>
                  <w:vAlign w:val="center"/>
                </w:tcPr>
                <w:p>
                  <w:pPr>
                    <w:pStyle w:val="66"/>
                    <w:rPr>
                      <w:lang w:eastAsia="zh-CN"/>
                    </w:rPr>
                  </w:pPr>
                  <w:r>
                    <w:rPr>
                      <w:lang w:eastAsia="zh-CN"/>
                    </w:rPr>
                    <w:t>11</w:t>
                  </w:r>
                </w:p>
              </w:tc>
              <w:tc>
                <w:tcPr>
                  <w:tcW w:w="423"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5</w:t>
                  </w:r>
                  <w:r>
                    <w:rPr>
                      <w:lang w:val="en-US" w:eastAsia="zh-CN"/>
                    </w:rPr>
                    <w:t>0.3</w:t>
                  </w:r>
                </w:p>
              </w:tc>
              <w:tc>
                <w:tcPr>
                  <w:tcW w:w="326" w:type="pct"/>
                  <w:tcBorders>
                    <w:top w:val="single" w:color="000000" w:sz="8" w:space="0"/>
                  </w:tcBorders>
                  <w:vAlign w:val="center"/>
                </w:tcPr>
                <w:p>
                  <w:pPr>
                    <w:pStyle w:val="56"/>
                    <w:rPr>
                      <w:lang w:eastAsia="zh-CN"/>
                    </w:rPr>
                  </w:pPr>
                  <w:r>
                    <w:rPr>
                      <w:lang w:eastAsia="zh-CN"/>
                    </w:rPr>
                    <w:t>20</w:t>
                  </w:r>
                </w:p>
              </w:tc>
              <w:tc>
                <w:tcPr>
                  <w:tcW w:w="547" w:type="pct"/>
                  <w:tcBorders>
                    <w:top w:val="single" w:color="000000" w:sz="8" w:space="0"/>
                  </w:tcBorders>
                  <w:vAlign w:val="center"/>
                </w:tcPr>
                <w:p>
                  <w:pPr>
                    <w:pStyle w:val="66"/>
                    <w:rPr>
                      <w:lang w:val="en-US" w:eastAsia="zh-CN"/>
                    </w:rPr>
                  </w:pPr>
                  <w:r>
                    <w:rPr>
                      <w:rFonts w:hint="eastAsia"/>
                      <w:lang w:val="en-US" w:eastAsia="zh-CN"/>
                    </w:rPr>
                    <w:t>4</w:t>
                  </w:r>
                  <w:r>
                    <w:rPr>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通风设备</w:t>
                  </w:r>
                </w:p>
              </w:tc>
              <w:tc>
                <w:tcPr>
                  <w:tcW w:w="530"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6</w:t>
                  </w:r>
                  <w:r>
                    <w:rPr>
                      <w:lang w:val="en-US" w:eastAsia="zh-CN"/>
                    </w:rPr>
                    <w:t>4.54</w:t>
                  </w:r>
                </w:p>
              </w:tc>
              <w:tc>
                <w:tcPr>
                  <w:tcW w:w="304" w:type="pct"/>
                  <w:tcBorders>
                    <w:top w:val="single" w:color="000000" w:sz="8" w:space="0"/>
                  </w:tcBorders>
                  <w:tcMar>
                    <w:top w:w="15" w:type="dxa"/>
                    <w:left w:w="15" w:type="dxa"/>
                    <w:bottom w:w="15" w:type="dxa"/>
                    <w:right w:w="15" w:type="dxa"/>
                  </w:tcMar>
                  <w:vAlign w:val="center"/>
                </w:tcPr>
                <w:p>
                  <w:pPr>
                    <w:pStyle w:val="66"/>
                    <w:rPr>
                      <w:lang w:eastAsia="zh-CN"/>
                    </w:rPr>
                  </w:pPr>
                  <w:r>
                    <w:rPr>
                      <w:lang w:eastAsia="zh-CN"/>
                    </w:rPr>
                    <w:t>100</w:t>
                  </w:r>
                </w:p>
              </w:tc>
              <w:tc>
                <w:tcPr>
                  <w:tcW w:w="433"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2</w:t>
                  </w:r>
                  <w:r>
                    <w:rPr>
                      <w:lang w:val="en-US" w:eastAsia="zh-CN"/>
                    </w:rPr>
                    <w:t>6.14</w:t>
                  </w:r>
                </w:p>
              </w:tc>
              <w:tc>
                <w:tcPr>
                  <w:tcW w:w="322" w:type="pct"/>
                  <w:tcBorders>
                    <w:top w:val="single" w:color="000000" w:sz="8" w:space="0"/>
                  </w:tcBorders>
                  <w:tcMar>
                    <w:top w:w="15" w:type="dxa"/>
                    <w:left w:w="15" w:type="dxa"/>
                    <w:bottom w:w="15" w:type="dxa"/>
                    <w:right w:w="15" w:type="dxa"/>
                  </w:tcMar>
                  <w:vAlign w:val="center"/>
                </w:tcPr>
                <w:p>
                  <w:pPr>
                    <w:pStyle w:val="66"/>
                    <w:rPr>
                      <w:lang w:eastAsia="zh-CN"/>
                    </w:rPr>
                  </w:pPr>
                  <w:r>
                    <w:rPr>
                      <w:rFonts w:hint="eastAsia"/>
                      <w:lang w:eastAsia="zh-CN"/>
                    </w:rPr>
                    <w:t>4</w:t>
                  </w:r>
                  <w:r>
                    <w:rPr>
                      <w:lang w:eastAsia="zh-CN"/>
                    </w:rPr>
                    <w:t>6</w:t>
                  </w:r>
                </w:p>
              </w:tc>
              <w:tc>
                <w:tcPr>
                  <w:tcW w:w="422"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3</w:t>
                  </w:r>
                  <w:r>
                    <w:rPr>
                      <w:lang w:val="en-US" w:eastAsia="zh-CN"/>
                    </w:rPr>
                    <w:t>2.9</w:t>
                  </w:r>
                </w:p>
              </w:tc>
              <w:tc>
                <w:tcPr>
                  <w:tcW w:w="329" w:type="pct"/>
                  <w:tcBorders>
                    <w:top w:val="single" w:color="000000" w:sz="8" w:space="0"/>
                  </w:tcBorders>
                  <w:tcMar>
                    <w:top w:w="15" w:type="dxa"/>
                    <w:left w:w="15" w:type="dxa"/>
                    <w:bottom w:w="15" w:type="dxa"/>
                    <w:right w:w="15" w:type="dxa"/>
                  </w:tcMar>
                  <w:vAlign w:val="center"/>
                </w:tcPr>
                <w:p>
                  <w:pPr>
                    <w:pStyle w:val="66"/>
                    <w:rPr>
                      <w:lang w:eastAsia="zh-CN"/>
                    </w:rPr>
                  </w:pPr>
                  <w:r>
                    <w:rPr>
                      <w:rFonts w:hint="eastAsia"/>
                      <w:lang w:eastAsia="zh-CN"/>
                    </w:rPr>
                    <w:t>7</w:t>
                  </w:r>
                  <w:r>
                    <w:rPr>
                      <w:lang w:eastAsia="zh-CN"/>
                    </w:rPr>
                    <w:t>7</w:t>
                  </w:r>
                </w:p>
              </w:tc>
              <w:tc>
                <w:tcPr>
                  <w:tcW w:w="429"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2</w:t>
                  </w:r>
                  <w:r>
                    <w:rPr>
                      <w:lang w:val="en-US" w:eastAsia="zh-CN"/>
                    </w:rPr>
                    <w:t>8.4</w:t>
                  </w:r>
                </w:p>
              </w:tc>
              <w:tc>
                <w:tcPr>
                  <w:tcW w:w="331" w:type="pct"/>
                  <w:tcBorders>
                    <w:top w:val="single" w:color="000000" w:sz="8" w:space="0"/>
                  </w:tcBorders>
                  <w:tcMar>
                    <w:top w:w="15" w:type="dxa"/>
                    <w:left w:w="15" w:type="dxa"/>
                    <w:bottom w:w="15" w:type="dxa"/>
                    <w:right w:w="15" w:type="dxa"/>
                  </w:tcMar>
                  <w:vAlign w:val="center"/>
                </w:tcPr>
                <w:p>
                  <w:pPr>
                    <w:pStyle w:val="66"/>
                    <w:rPr>
                      <w:lang w:eastAsia="zh-CN"/>
                    </w:rPr>
                  </w:pPr>
                  <w:r>
                    <w:rPr>
                      <w:rFonts w:hint="eastAsia"/>
                      <w:lang w:eastAsia="zh-CN"/>
                    </w:rPr>
                    <w:t>2</w:t>
                  </w:r>
                  <w:r>
                    <w:rPr>
                      <w:lang w:eastAsia="zh-CN"/>
                    </w:rPr>
                    <w:t>2</w:t>
                  </w:r>
                </w:p>
              </w:tc>
              <w:tc>
                <w:tcPr>
                  <w:tcW w:w="423" w:type="pct"/>
                  <w:tcBorders>
                    <w:top w:val="single" w:color="000000" w:sz="8" w:space="0"/>
                  </w:tcBorders>
                  <w:tcMar>
                    <w:top w:w="15" w:type="dxa"/>
                    <w:left w:w="15" w:type="dxa"/>
                    <w:bottom w:w="15" w:type="dxa"/>
                    <w:right w:w="15" w:type="dxa"/>
                  </w:tcMar>
                  <w:vAlign w:val="center"/>
                </w:tcPr>
                <w:p>
                  <w:pPr>
                    <w:pStyle w:val="66"/>
                    <w:rPr>
                      <w:lang w:val="en-US" w:eastAsia="zh-CN"/>
                    </w:rPr>
                  </w:pPr>
                  <w:r>
                    <w:rPr>
                      <w:rFonts w:hint="eastAsia"/>
                      <w:lang w:val="en-US" w:eastAsia="zh-CN"/>
                    </w:rPr>
                    <w:t>3</w:t>
                  </w:r>
                  <w:r>
                    <w:rPr>
                      <w:lang w:val="en-US" w:eastAsia="zh-CN"/>
                    </w:rPr>
                    <w:t>9.3</w:t>
                  </w:r>
                </w:p>
              </w:tc>
              <w:tc>
                <w:tcPr>
                  <w:tcW w:w="326" w:type="pct"/>
                  <w:tcBorders>
                    <w:top w:val="single" w:color="000000" w:sz="8" w:space="0"/>
                  </w:tcBorders>
                  <w:vAlign w:val="center"/>
                </w:tcPr>
                <w:p>
                  <w:pPr>
                    <w:pStyle w:val="56"/>
                    <w:rPr>
                      <w:lang w:eastAsia="zh-CN"/>
                    </w:rPr>
                  </w:pPr>
                  <w:r>
                    <w:rPr>
                      <w:lang w:eastAsia="zh-CN"/>
                    </w:rPr>
                    <w:t>30</w:t>
                  </w:r>
                </w:p>
              </w:tc>
              <w:tc>
                <w:tcPr>
                  <w:tcW w:w="547" w:type="pct"/>
                  <w:tcBorders>
                    <w:top w:val="single" w:color="000000" w:sz="8" w:space="0"/>
                  </w:tcBorders>
                  <w:vAlign w:val="center"/>
                </w:tcPr>
                <w:p>
                  <w:pPr>
                    <w:pStyle w:val="66"/>
                    <w:rPr>
                      <w:lang w:val="en-US" w:eastAsia="zh-CN"/>
                    </w:rPr>
                  </w:pPr>
                  <w:r>
                    <w:rPr>
                      <w:rFonts w:hint="eastAsia"/>
                      <w:lang w:val="en-US" w:eastAsia="zh-CN"/>
                    </w:rPr>
                    <w:t>3</w:t>
                  </w:r>
                  <w:r>
                    <w:rPr>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3" w:type="pct"/>
                  <w:gridSpan w:val="2"/>
                  <w:tcMar>
                    <w:top w:w="15" w:type="dxa"/>
                    <w:left w:w="15" w:type="dxa"/>
                    <w:bottom w:w="15" w:type="dxa"/>
                    <w:right w:w="15" w:type="dxa"/>
                  </w:tcMar>
                  <w:vAlign w:val="center"/>
                </w:tcPr>
                <w:p>
                  <w:pPr>
                    <w:pStyle w:val="66"/>
                  </w:pPr>
                  <w:r>
                    <w:rPr>
                      <w:rFonts w:hint="eastAsia"/>
                    </w:rPr>
                    <w:t>项目</w:t>
                  </w:r>
                  <w:r>
                    <w:t>综合贡献值</w:t>
                  </w:r>
                </w:p>
              </w:tc>
              <w:tc>
                <w:tcPr>
                  <w:tcW w:w="304" w:type="pct"/>
                  <w:tcMar>
                    <w:top w:w="15" w:type="dxa"/>
                    <w:left w:w="15" w:type="dxa"/>
                    <w:bottom w:w="15" w:type="dxa"/>
                    <w:right w:w="15" w:type="dxa"/>
                  </w:tcMar>
                  <w:vAlign w:val="center"/>
                </w:tcPr>
                <w:p>
                  <w:pPr>
                    <w:pStyle w:val="66"/>
                    <w:rPr>
                      <w:lang w:eastAsia="zh-CN"/>
                    </w:rPr>
                  </w:pPr>
                  <w:r>
                    <w:rPr>
                      <w:rFonts w:hint="eastAsia"/>
                      <w:lang w:eastAsia="zh-CN"/>
                    </w:rPr>
                    <w:t>/</w:t>
                  </w:r>
                </w:p>
              </w:tc>
              <w:tc>
                <w:tcPr>
                  <w:tcW w:w="433" w:type="pct"/>
                  <w:tcMar>
                    <w:top w:w="15" w:type="dxa"/>
                    <w:left w:w="15" w:type="dxa"/>
                    <w:bottom w:w="15" w:type="dxa"/>
                    <w:right w:w="15" w:type="dxa"/>
                  </w:tcMar>
                  <w:vAlign w:val="center"/>
                </w:tcPr>
                <w:p>
                  <w:pPr>
                    <w:pStyle w:val="66"/>
                    <w:rPr>
                      <w:lang w:val="en-US" w:eastAsia="zh-CN"/>
                    </w:rPr>
                  </w:pPr>
                  <w:r>
                    <w:rPr>
                      <w:rFonts w:hint="eastAsia"/>
                      <w:lang w:val="en-US" w:eastAsia="zh-CN"/>
                    </w:rPr>
                    <w:t>3</w:t>
                  </w:r>
                  <w:r>
                    <w:rPr>
                      <w:lang w:val="en-US" w:eastAsia="zh-CN"/>
                    </w:rPr>
                    <w:t>4.49</w:t>
                  </w:r>
                </w:p>
              </w:tc>
              <w:tc>
                <w:tcPr>
                  <w:tcW w:w="322" w:type="pct"/>
                  <w:tcMar>
                    <w:top w:w="15" w:type="dxa"/>
                    <w:left w:w="15" w:type="dxa"/>
                    <w:bottom w:w="15" w:type="dxa"/>
                    <w:right w:w="15" w:type="dxa"/>
                  </w:tcMar>
                  <w:vAlign w:val="center"/>
                </w:tcPr>
                <w:p>
                  <w:pPr>
                    <w:pStyle w:val="66"/>
                    <w:rPr>
                      <w:lang w:eastAsia="zh-CN"/>
                    </w:rPr>
                  </w:pPr>
                  <w:r>
                    <w:rPr>
                      <w:rFonts w:hint="eastAsia"/>
                      <w:lang w:eastAsia="zh-CN"/>
                    </w:rPr>
                    <w:t>/</w:t>
                  </w:r>
                </w:p>
              </w:tc>
              <w:tc>
                <w:tcPr>
                  <w:tcW w:w="422" w:type="pct"/>
                  <w:tcMar>
                    <w:top w:w="15" w:type="dxa"/>
                    <w:left w:w="15" w:type="dxa"/>
                    <w:bottom w:w="15" w:type="dxa"/>
                    <w:right w:w="15" w:type="dxa"/>
                  </w:tcMar>
                  <w:vAlign w:val="center"/>
                </w:tcPr>
                <w:p>
                  <w:pPr>
                    <w:pStyle w:val="66"/>
                    <w:rPr>
                      <w:lang w:eastAsia="zh-CN"/>
                    </w:rPr>
                  </w:pPr>
                  <w:r>
                    <w:rPr>
                      <w:rFonts w:hint="eastAsia"/>
                      <w:lang w:eastAsia="zh-CN"/>
                    </w:rPr>
                    <w:t>3</w:t>
                  </w:r>
                  <w:r>
                    <w:rPr>
                      <w:lang w:eastAsia="zh-CN"/>
                    </w:rPr>
                    <w:t>8.6</w:t>
                  </w:r>
                </w:p>
              </w:tc>
              <w:tc>
                <w:tcPr>
                  <w:tcW w:w="329" w:type="pct"/>
                  <w:tcMar>
                    <w:top w:w="15" w:type="dxa"/>
                    <w:left w:w="15" w:type="dxa"/>
                    <w:bottom w:w="15" w:type="dxa"/>
                    <w:right w:w="15" w:type="dxa"/>
                  </w:tcMar>
                  <w:vAlign w:val="center"/>
                </w:tcPr>
                <w:p>
                  <w:pPr>
                    <w:pStyle w:val="66"/>
                    <w:rPr>
                      <w:lang w:eastAsia="zh-CN"/>
                    </w:rPr>
                  </w:pPr>
                  <w:r>
                    <w:rPr>
                      <w:rFonts w:hint="eastAsia"/>
                      <w:lang w:eastAsia="zh-CN"/>
                    </w:rPr>
                    <w:t>/</w:t>
                  </w:r>
                </w:p>
              </w:tc>
              <w:tc>
                <w:tcPr>
                  <w:tcW w:w="429" w:type="pct"/>
                  <w:tcMar>
                    <w:top w:w="15" w:type="dxa"/>
                    <w:left w:w="15" w:type="dxa"/>
                    <w:bottom w:w="15" w:type="dxa"/>
                    <w:right w:w="15" w:type="dxa"/>
                  </w:tcMar>
                  <w:vAlign w:val="center"/>
                </w:tcPr>
                <w:p>
                  <w:pPr>
                    <w:pStyle w:val="66"/>
                    <w:rPr>
                      <w:lang w:val="en-US" w:eastAsia="zh-CN"/>
                    </w:rPr>
                  </w:pPr>
                  <w:r>
                    <w:rPr>
                      <w:lang w:val="en-US" w:eastAsia="zh-CN"/>
                    </w:rPr>
                    <w:t>36.63</w:t>
                  </w:r>
                </w:p>
              </w:tc>
              <w:tc>
                <w:tcPr>
                  <w:tcW w:w="331" w:type="pct"/>
                  <w:tcMar>
                    <w:top w:w="15" w:type="dxa"/>
                    <w:left w:w="15" w:type="dxa"/>
                    <w:bottom w:w="15" w:type="dxa"/>
                    <w:right w:w="15" w:type="dxa"/>
                  </w:tcMar>
                  <w:vAlign w:val="center"/>
                </w:tcPr>
                <w:p>
                  <w:pPr>
                    <w:pStyle w:val="66"/>
                    <w:rPr>
                      <w:lang w:eastAsia="zh-CN"/>
                    </w:rPr>
                  </w:pPr>
                  <w:r>
                    <w:rPr>
                      <w:rFonts w:hint="eastAsia"/>
                      <w:lang w:eastAsia="zh-CN"/>
                    </w:rPr>
                    <w:t>/</w:t>
                  </w:r>
                </w:p>
              </w:tc>
              <w:tc>
                <w:tcPr>
                  <w:tcW w:w="423" w:type="pct"/>
                  <w:tcMar>
                    <w:top w:w="15" w:type="dxa"/>
                    <w:left w:w="15" w:type="dxa"/>
                    <w:bottom w:w="15" w:type="dxa"/>
                    <w:right w:w="15" w:type="dxa"/>
                  </w:tcMar>
                  <w:vAlign w:val="center"/>
                </w:tcPr>
                <w:p>
                  <w:pPr>
                    <w:pStyle w:val="66"/>
                    <w:rPr>
                      <w:lang w:eastAsia="zh-CN"/>
                    </w:rPr>
                  </w:pPr>
                  <w:r>
                    <w:rPr>
                      <w:lang w:eastAsia="zh-CN"/>
                    </w:rPr>
                    <w:t>50.97</w:t>
                  </w:r>
                </w:p>
              </w:tc>
              <w:tc>
                <w:tcPr>
                  <w:tcW w:w="326" w:type="pct"/>
                  <w:vAlign w:val="center"/>
                </w:tcPr>
                <w:p>
                  <w:pPr>
                    <w:pStyle w:val="66"/>
                    <w:rPr>
                      <w:lang w:eastAsia="zh-CN"/>
                    </w:rPr>
                  </w:pPr>
                  <w:r>
                    <w:rPr>
                      <w:rFonts w:hint="eastAsia"/>
                      <w:lang w:eastAsia="zh-CN"/>
                    </w:rPr>
                    <w:t>/</w:t>
                  </w:r>
                </w:p>
              </w:tc>
              <w:tc>
                <w:tcPr>
                  <w:tcW w:w="547" w:type="pct"/>
                  <w:vAlign w:val="center"/>
                </w:tcPr>
                <w:p>
                  <w:pPr>
                    <w:pStyle w:val="66"/>
                    <w:rPr>
                      <w:lang w:eastAsia="zh-CN"/>
                    </w:rPr>
                  </w:pPr>
                  <w:r>
                    <w:rPr>
                      <w:lang w:eastAsia="zh-CN"/>
                    </w:rPr>
                    <w:t>44.65</w:t>
                  </w:r>
                </w:p>
              </w:tc>
            </w:tr>
          </w:tbl>
          <w:p>
            <w:pPr>
              <w:pStyle w:val="56"/>
            </w:pPr>
          </w:p>
          <w:p>
            <w:pPr>
              <w:pStyle w:val="5"/>
              <w:rPr>
                <w:lang w:eastAsia="zh-CN"/>
              </w:rPr>
            </w:pPr>
            <w:r>
              <w:rPr>
                <w:rFonts w:hint="eastAsia"/>
                <w:lang w:eastAsia="zh-CN"/>
              </w:rPr>
              <w:t>噪声源强核算情况</w:t>
            </w:r>
          </w:p>
          <w:p>
            <w:pPr>
              <w:ind w:firstLine="480"/>
            </w:pPr>
            <w:r>
              <w:t>本项目为</w:t>
            </w:r>
            <w:r>
              <w:rPr>
                <w:rFonts w:hint="eastAsia"/>
              </w:rPr>
              <w:t>新</w:t>
            </w:r>
            <w:r>
              <w:t>建项目，以叠加值为评价量。厂界预测结果详见下表。本项目噪声污染排放量核算结果见</w:t>
            </w:r>
            <w:r>
              <w:rPr>
                <w:rFonts w:hint="eastAsia"/>
              </w:rPr>
              <w:t>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17</w:t>
            </w:r>
            <w:r>
              <w:fldChar w:fldCharType="end"/>
            </w:r>
            <w:r>
              <w:rPr>
                <w:rFonts w:hint="eastAsia"/>
              </w:rPr>
              <w:t>项目噪声源核算结果一览表</w:t>
            </w:r>
          </w:p>
          <w:tbl>
            <w:tblPr>
              <w:tblStyle w:val="6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30"/>
              <w:gridCol w:w="1037"/>
              <w:gridCol w:w="1264"/>
              <w:gridCol w:w="1002"/>
              <w:gridCol w:w="1122"/>
              <w:gridCol w:w="13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8" w:type="pct"/>
                  <w:vMerge w:val="restart"/>
                  <w:tcBorders>
                    <w:top w:val="single" w:color="auto" w:sz="8" w:space="0"/>
                    <w:left w:val="single" w:color="auto" w:sz="8" w:space="0"/>
                  </w:tcBorders>
                  <w:vAlign w:val="center"/>
                </w:tcPr>
                <w:p>
                  <w:pPr>
                    <w:pStyle w:val="56"/>
                  </w:pPr>
                  <w:r>
                    <w:rPr>
                      <w:rFonts w:hint="eastAsia"/>
                    </w:rPr>
                    <w:t>点位</w:t>
                  </w:r>
                </w:p>
              </w:tc>
              <w:tc>
                <w:tcPr>
                  <w:tcW w:w="698" w:type="pct"/>
                  <w:vMerge w:val="restart"/>
                  <w:tcBorders>
                    <w:top w:val="single" w:color="auto" w:sz="8" w:space="0"/>
                  </w:tcBorders>
                  <w:vAlign w:val="center"/>
                </w:tcPr>
                <w:p>
                  <w:pPr>
                    <w:pStyle w:val="56"/>
                  </w:pPr>
                  <w:r>
                    <w:rPr>
                      <w:rFonts w:hint="eastAsia"/>
                    </w:rPr>
                    <w:t>贡献值</w:t>
                  </w:r>
                </w:p>
              </w:tc>
              <w:tc>
                <w:tcPr>
                  <w:tcW w:w="1527" w:type="pct"/>
                  <w:gridSpan w:val="2"/>
                  <w:tcBorders>
                    <w:top w:val="single" w:color="auto" w:sz="8" w:space="0"/>
                  </w:tcBorders>
                  <w:vAlign w:val="center"/>
                </w:tcPr>
                <w:p>
                  <w:pPr>
                    <w:pStyle w:val="56"/>
                  </w:pPr>
                  <w:r>
                    <w:rPr>
                      <w:rFonts w:hint="eastAsia"/>
                    </w:rPr>
                    <w:t>评价标准</w:t>
                  </w:r>
                </w:p>
              </w:tc>
              <w:tc>
                <w:tcPr>
                  <w:tcW w:w="756" w:type="pct"/>
                  <w:vMerge w:val="restart"/>
                  <w:tcBorders>
                    <w:top w:val="single" w:color="auto" w:sz="8" w:space="0"/>
                  </w:tcBorders>
                  <w:vAlign w:val="center"/>
                </w:tcPr>
                <w:p>
                  <w:pPr>
                    <w:pStyle w:val="56"/>
                  </w:pPr>
                  <w:r>
                    <w:rPr>
                      <w:rFonts w:hint="eastAsia"/>
                    </w:rPr>
                    <w:t>评价结果</w:t>
                  </w:r>
                </w:p>
              </w:tc>
              <w:tc>
                <w:tcPr>
                  <w:tcW w:w="922" w:type="pct"/>
                  <w:vMerge w:val="restart"/>
                  <w:tcBorders>
                    <w:top w:val="single" w:color="auto" w:sz="8" w:space="0"/>
                    <w:right w:val="single" w:color="auto" w:sz="8" w:space="0"/>
                  </w:tcBorders>
                  <w:vAlign w:val="center"/>
                </w:tcPr>
                <w:p>
                  <w:pPr>
                    <w:pStyle w:val="56"/>
                  </w:pPr>
                  <w:r>
                    <w:rPr>
                      <w:rFonts w:hint="eastAsia"/>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098" w:type="pct"/>
                  <w:vMerge w:val="continue"/>
                  <w:tcBorders>
                    <w:left w:val="single" w:color="auto" w:sz="8" w:space="0"/>
                  </w:tcBorders>
                  <w:vAlign w:val="center"/>
                </w:tcPr>
                <w:p>
                  <w:pPr>
                    <w:pStyle w:val="56"/>
                  </w:pPr>
                </w:p>
              </w:tc>
              <w:tc>
                <w:tcPr>
                  <w:tcW w:w="698" w:type="pct"/>
                  <w:vMerge w:val="continue"/>
                  <w:vAlign w:val="center"/>
                </w:tcPr>
                <w:p>
                  <w:pPr>
                    <w:pStyle w:val="56"/>
                  </w:pPr>
                </w:p>
              </w:tc>
              <w:tc>
                <w:tcPr>
                  <w:tcW w:w="852" w:type="pct"/>
                  <w:vAlign w:val="center"/>
                </w:tcPr>
                <w:p>
                  <w:pPr>
                    <w:pStyle w:val="56"/>
                  </w:pPr>
                  <w:r>
                    <w:rPr>
                      <w:rFonts w:hint="eastAsia"/>
                    </w:rPr>
                    <w:t>昼间</w:t>
                  </w:r>
                </w:p>
              </w:tc>
              <w:tc>
                <w:tcPr>
                  <w:tcW w:w="675" w:type="pct"/>
                  <w:vAlign w:val="center"/>
                </w:tcPr>
                <w:p>
                  <w:pPr>
                    <w:pStyle w:val="56"/>
                  </w:pPr>
                  <w:r>
                    <w:rPr>
                      <w:rFonts w:hint="eastAsia"/>
                    </w:rPr>
                    <w:t>夜间</w:t>
                  </w:r>
                </w:p>
              </w:tc>
              <w:tc>
                <w:tcPr>
                  <w:tcW w:w="756" w:type="pct"/>
                  <w:vMerge w:val="continue"/>
                  <w:vAlign w:val="center"/>
                </w:tcPr>
                <w:p>
                  <w:pPr>
                    <w:pStyle w:val="56"/>
                  </w:pPr>
                </w:p>
              </w:tc>
              <w:tc>
                <w:tcPr>
                  <w:tcW w:w="922" w:type="pct"/>
                  <w:vMerge w:val="continue"/>
                  <w:tcBorders>
                    <w:right w:val="single" w:color="auto" w:sz="8" w:space="0"/>
                  </w:tcBorders>
                  <w:vAlign w:val="center"/>
                </w:tcPr>
                <w:p>
                  <w:pPr>
                    <w:pStyle w:val="56"/>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8" w:type="pct"/>
                  <w:tcBorders>
                    <w:left w:val="single" w:color="auto" w:sz="8" w:space="0"/>
                  </w:tcBorders>
                  <w:vAlign w:val="center"/>
                </w:tcPr>
                <w:p>
                  <w:pPr>
                    <w:pStyle w:val="56"/>
                  </w:pPr>
                  <w:r>
                    <w:rPr>
                      <w:rFonts w:hint="eastAsia"/>
                    </w:rPr>
                    <w:t>N1项目东边界</w:t>
                  </w:r>
                </w:p>
              </w:tc>
              <w:tc>
                <w:tcPr>
                  <w:tcW w:w="698" w:type="pct"/>
                  <w:vAlign w:val="center"/>
                </w:tcPr>
                <w:p>
                  <w:pPr>
                    <w:pStyle w:val="56"/>
                  </w:pPr>
                  <w:r>
                    <w:rPr>
                      <w:rFonts w:hint="eastAsia"/>
                      <w:lang w:val="en-US" w:eastAsia="zh-CN"/>
                    </w:rPr>
                    <w:t>3</w:t>
                  </w:r>
                  <w:r>
                    <w:rPr>
                      <w:lang w:val="en-US" w:eastAsia="zh-CN"/>
                    </w:rPr>
                    <w:t>4.49</w:t>
                  </w:r>
                </w:p>
              </w:tc>
              <w:tc>
                <w:tcPr>
                  <w:tcW w:w="852" w:type="pct"/>
                  <w:vAlign w:val="center"/>
                </w:tcPr>
                <w:p>
                  <w:pPr>
                    <w:pStyle w:val="56"/>
                  </w:pPr>
                  <w:r>
                    <w:rPr>
                      <w:rFonts w:hint="eastAsia"/>
                      <w:lang w:eastAsia="zh-CN"/>
                    </w:rPr>
                    <w:t>6</w:t>
                  </w:r>
                  <w:r>
                    <w:rPr>
                      <w:lang w:eastAsia="zh-CN"/>
                    </w:rPr>
                    <w:t>5</w:t>
                  </w:r>
                </w:p>
              </w:tc>
              <w:tc>
                <w:tcPr>
                  <w:tcW w:w="675" w:type="pct"/>
                  <w:vAlign w:val="center"/>
                </w:tcPr>
                <w:p>
                  <w:pPr>
                    <w:pStyle w:val="56"/>
                  </w:pPr>
                  <w:r>
                    <w:rPr>
                      <w:rFonts w:hint="eastAsia"/>
                      <w:lang w:eastAsia="zh-CN"/>
                    </w:rPr>
                    <w:t>5</w:t>
                  </w:r>
                  <w:r>
                    <w:rPr>
                      <w:lang w:eastAsia="zh-CN"/>
                    </w:rPr>
                    <w:t>5</w:t>
                  </w:r>
                </w:p>
              </w:tc>
              <w:tc>
                <w:tcPr>
                  <w:tcW w:w="756" w:type="pct"/>
                  <w:vAlign w:val="center"/>
                </w:tcPr>
                <w:p>
                  <w:pPr>
                    <w:pStyle w:val="56"/>
                  </w:pPr>
                  <w:r>
                    <w:rPr>
                      <w:rFonts w:hint="eastAsia"/>
                    </w:rPr>
                    <w:t>达标</w:t>
                  </w:r>
                </w:p>
              </w:tc>
              <w:tc>
                <w:tcPr>
                  <w:tcW w:w="922" w:type="pct"/>
                  <w:vMerge w:val="restart"/>
                  <w:tcBorders>
                    <w:right w:val="single" w:color="auto" w:sz="8" w:space="0"/>
                  </w:tcBorders>
                  <w:vAlign w:val="center"/>
                </w:tcPr>
                <w:p>
                  <w:pPr>
                    <w:pStyle w:val="56"/>
                  </w:pPr>
                  <w:r>
                    <w:rPr>
                      <w:rFonts w:hint="eastAsia"/>
                    </w:rPr>
                    <w:t>GB12348-2008</w:t>
                  </w:r>
                </w:p>
                <w:p>
                  <w:pPr>
                    <w:pStyle w:val="56"/>
                  </w:pPr>
                  <w:r>
                    <w:t>3</w:t>
                  </w:r>
                  <w:r>
                    <w:rPr>
                      <w:rFonts w:hint="eastAsia"/>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8" w:type="pct"/>
                  <w:tcBorders>
                    <w:left w:val="single" w:color="auto" w:sz="8" w:space="0"/>
                  </w:tcBorders>
                  <w:vAlign w:val="center"/>
                </w:tcPr>
                <w:p>
                  <w:pPr>
                    <w:pStyle w:val="56"/>
                  </w:pPr>
                  <w:r>
                    <w:rPr>
                      <w:rFonts w:hint="eastAsia"/>
                    </w:rPr>
                    <w:t>N2项目南边界</w:t>
                  </w:r>
                </w:p>
              </w:tc>
              <w:tc>
                <w:tcPr>
                  <w:tcW w:w="698" w:type="pct"/>
                  <w:vAlign w:val="center"/>
                </w:tcPr>
                <w:p>
                  <w:pPr>
                    <w:pStyle w:val="56"/>
                  </w:pPr>
                  <w:r>
                    <w:rPr>
                      <w:rFonts w:hint="eastAsia"/>
                      <w:lang w:eastAsia="zh-CN"/>
                    </w:rPr>
                    <w:t>3</w:t>
                  </w:r>
                  <w:r>
                    <w:rPr>
                      <w:lang w:eastAsia="zh-CN"/>
                    </w:rPr>
                    <w:t>8.6</w:t>
                  </w:r>
                </w:p>
              </w:tc>
              <w:tc>
                <w:tcPr>
                  <w:tcW w:w="852" w:type="pct"/>
                  <w:vAlign w:val="center"/>
                </w:tcPr>
                <w:p>
                  <w:pPr>
                    <w:pStyle w:val="56"/>
                  </w:pPr>
                  <w:r>
                    <w:rPr>
                      <w:rFonts w:hint="eastAsia"/>
                      <w:lang w:eastAsia="zh-CN"/>
                    </w:rPr>
                    <w:t>6</w:t>
                  </w:r>
                  <w:r>
                    <w:rPr>
                      <w:lang w:eastAsia="zh-CN"/>
                    </w:rPr>
                    <w:t>5</w:t>
                  </w:r>
                </w:p>
              </w:tc>
              <w:tc>
                <w:tcPr>
                  <w:tcW w:w="675" w:type="pct"/>
                  <w:vAlign w:val="center"/>
                </w:tcPr>
                <w:p>
                  <w:pPr>
                    <w:pStyle w:val="56"/>
                  </w:pPr>
                  <w:r>
                    <w:rPr>
                      <w:rFonts w:hint="eastAsia"/>
                      <w:lang w:eastAsia="zh-CN"/>
                    </w:rPr>
                    <w:t>5</w:t>
                  </w:r>
                  <w:r>
                    <w:rPr>
                      <w:lang w:eastAsia="zh-CN"/>
                    </w:rPr>
                    <w:t>5</w:t>
                  </w:r>
                </w:p>
              </w:tc>
              <w:tc>
                <w:tcPr>
                  <w:tcW w:w="756" w:type="pct"/>
                  <w:vAlign w:val="center"/>
                </w:tcPr>
                <w:p>
                  <w:pPr>
                    <w:pStyle w:val="56"/>
                  </w:pPr>
                  <w:r>
                    <w:rPr>
                      <w:rFonts w:hint="eastAsia"/>
                    </w:rPr>
                    <w:t>达标</w:t>
                  </w:r>
                </w:p>
              </w:tc>
              <w:tc>
                <w:tcPr>
                  <w:tcW w:w="922" w:type="pct"/>
                  <w:vMerge w:val="continue"/>
                  <w:tcBorders>
                    <w:right w:val="single" w:color="auto" w:sz="8" w:space="0"/>
                  </w:tcBorders>
                  <w:vAlign w:val="center"/>
                </w:tcPr>
                <w:p>
                  <w:pPr>
                    <w:pStyle w:val="56"/>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8" w:type="pct"/>
                  <w:tcBorders>
                    <w:left w:val="single" w:color="auto" w:sz="8" w:space="0"/>
                  </w:tcBorders>
                  <w:vAlign w:val="center"/>
                </w:tcPr>
                <w:p>
                  <w:pPr>
                    <w:pStyle w:val="56"/>
                  </w:pPr>
                  <w:r>
                    <w:rPr>
                      <w:rFonts w:hint="eastAsia"/>
                    </w:rPr>
                    <w:t>N3项目西边界</w:t>
                  </w:r>
                </w:p>
              </w:tc>
              <w:tc>
                <w:tcPr>
                  <w:tcW w:w="698" w:type="pct"/>
                  <w:vAlign w:val="center"/>
                </w:tcPr>
                <w:p>
                  <w:pPr>
                    <w:pStyle w:val="56"/>
                    <w:rPr>
                      <w:lang w:eastAsia="zh-CN"/>
                    </w:rPr>
                  </w:pPr>
                  <w:r>
                    <w:rPr>
                      <w:rFonts w:hint="eastAsia"/>
                      <w:lang w:eastAsia="zh-CN"/>
                    </w:rPr>
                    <w:t>3</w:t>
                  </w:r>
                  <w:r>
                    <w:rPr>
                      <w:lang w:eastAsia="zh-CN"/>
                    </w:rPr>
                    <w:t>6.63</w:t>
                  </w:r>
                </w:p>
              </w:tc>
              <w:tc>
                <w:tcPr>
                  <w:tcW w:w="852" w:type="pct"/>
                  <w:vAlign w:val="center"/>
                </w:tcPr>
                <w:p>
                  <w:pPr>
                    <w:pStyle w:val="56"/>
                  </w:pPr>
                  <w:r>
                    <w:rPr>
                      <w:rFonts w:hint="eastAsia"/>
                      <w:lang w:eastAsia="zh-CN"/>
                    </w:rPr>
                    <w:t>6</w:t>
                  </w:r>
                  <w:r>
                    <w:rPr>
                      <w:lang w:eastAsia="zh-CN"/>
                    </w:rPr>
                    <w:t>5</w:t>
                  </w:r>
                </w:p>
              </w:tc>
              <w:tc>
                <w:tcPr>
                  <w:tcW w:w="675" w:type="pct"/>
                  <w:vAlign w:val="center"/>
                </w:tcPr>
                <w:p>
                  <w:pPr>
                    <w:pStyle w:val="56"/>
                  </w:pPr>
                  <w:r>
                    <w:rPr>
                      <w:rFonts w:hint="eastAsia"/>
                      <w:lang w:eastAsia="zh-CN"/>
                    </w:rPr>
                    <w:t>5</w:t>
                  </w:r>
                  <w:r>
                    <w:rPr>
                      <w:lang w:eastAsia="zh-CN"/>
                    </w:rPr>
                    <w:t>5</w:t>
                  </w:r>
                </w:p>
              </w:tc>
              <w:tc>
                <w:tcPr>
                  <w:tcW w:w="756" w:type="pct"/>
                  <w:vAlign w:val="center"/>
                </w:tcPr>
                <w:p>
                  <w:pPr>
                    <w:pStyle w:val="56"/>
                  </w:pPr>
                  <w:r>
                    <w:rPr>
                      <w:rFonts w:hint="eastAsia"/>
                    </w:rPr>
                    <w:t>达标</w:t>
                  </w:r>
                </w:p>
              </w:tc>
              <w:tc>
                <w:tcPr>
                  <w:tcW w:w="922" w:type="pct"/>
                  <w:vMerge w:val="continue"/>
                  <w:tcBorders>
                    <w:right w:val="single" w:color="auto" w:sz="8" w:space="0"/>
                  </w:tcBorders>
                  <w:vAlign w:val="center"/>
                </w:tcPr>
                <w:p>
                  <w:pPr>
                    <w:pStyle w:val="56"/>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8" w:type="pct"/>
                  <w:tcBorders>
                    <w:left w:val="single" w:color="auto" w:sz="8" w:space="0"/>
                    <w:bottom w:val="single" w:color="auto" w:sz="8" w:space="0"/>
                  </w:tcBorders>
                  <w:vAlign w:val="center"/>
                </w:tcPr>
                <w:p>
                  <w:pPr>
                    <w:pStyle w:val="56"/>
                  </w:pPr>
                  <w:r>
                    <w:rPr>
                      <w:rFonts w:hint="eastAsia"/>
                    </w:rPr>
                    <w:t>N4项目北边界</w:t>
                  </w:r>
                </w:p>
              </w:tc>
              <w:tc>
                <w:tcPr>
                  <w:tcW w:w="698" w:type="pct"/>
                  <w:tcBorders>
                    <w:bottom w:val="single" w:color="auto" w:sz="8" w:space="0"/>
                  </w:tcBorders>
                  <w:vAlign w:val="center"/>
                </w:tcPr>
                <w:p>
                  <w:pPr>
                    <w:pStyle w:val="56"/>
                  </w:pPr>
                  <w:r>
                    <w:rPr>
                      <w:lang w:eastAsia="zh-CN"/>
                    </w:rPr>
                    <w:t>50.97</w:t>
                  </w:r>
                </w:p>
              </w:tc>
              <w:tc>
                <w:tcPr>
                  <w:tcW w:w="852" w:type="pct"/>
                  <w:tcBorders>
                    <w:bottom w:val="single" w:color="auto" w:sz="8" w:space="0"/>
                  </w:tcBorders>
                  <w:vAlign w:val="center"/>
                </w:tcPr>
                <w:p>
                  <w:pPr>
                    <w:pStyle w:val="56"/>
                  </w:pPr>
                  <w:r>
                    <w:rPr>
                      <w:rFonts w:hint="eastAsia"/>
                      <w:lang w:eastAsia="zh-CN"/>
                    </w:rPr>
                    <w:t>6</w:t>
                  </w:r>
                  <w:r>
                    <w:rPr>
                      <w:lang w:eastAsia="zh-CN"/>
                    </w:rPr>
                    <w:t>5</w:t>
                  </w:r>
                </w:p>
              </w:tc>
              <w:tc>
                <w:tcPr>
                  <w:tcW w:w="675" w:type="pct"/>
                  <w:tcBorders>
                    <w:bottom w:val="single" w:color="auto" w:sz="8" w:space="0"/>
                  </w:tcBorders>
                  <w:vAlign w:val="center"/>
                </w:tcPr>
                <w:p>
                  <w:pPr>
                    <w:pStyle w:val="56"/>
                  </w:pPr>
                  <w:r>
                    <w:rPr>
                      <w:rFonts w:hint="eastAsia"/>
                      <w:lang w:eastAsia="zh-CN"/>
                    </w:rPr>
                    <w:t>5</w:t>
                  </w:r>
                  <w:r>
                    <w:rPr>
                      <w:lang w:eastAsia="zh-CN"/>
                    </w:rPr>
                    <w:t>5</w:t>
                  </w:r>
                </w:p>
              </w:tc>
              <w:tc>
                <w:tcPr>
                  <w:tcW w:w="756" w:type="pct"/>
                  <w:tcBorders>
                    <w:bottom w:val="single" w:color="auto" w:sz="8" w:space="0"/>
                  </w:tcBorders>
                  <w:vAlign w:val="center"/>
                </w:tcPr>
                <w:p>
                  <w:pPr>
                    <w:pStyle w:val="56"/>
                  </w:pPr>
                  <w:r>
                    <w:rPr>
                      <w:rFonts w:hint="eastAsia"/>
                    </w:rPr>
                    <w:t>达标</w:t>
                  </w:r>
                </w:p>
              </w:tc>
              <w:tc>
                <w:tcPr>
                  <w:tcW w:w="922" w:type="pct"/>
                  <w:vMerge w:val="continue"/>
                  <w:tcBorders>
                    <w:bottom w:val="single" w:color="auto" w:sz="8" w:space="0"/>
                    <w:right w:val="single" w:color="auto" w:sz="8" w:space="0"/>
                  </w:tcBorders>
                  <w:vAlign w:val="center"/>
                </w:tcPr>
                <w:p>
                  <w:pPr>
                    <w:pStyle w:val="56"/>
                  </w:pPr>
                </w:p>
              </w:tc>
            </w:tr>
          </w:tbl>
          <w:p>
            <w:pPr>
              <w:pStyle w:val="56"/>
            </w:pP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18</w:t>
            </w:r>
            <w:r>
              <w:fldChar w:fldCharType="end"/>
            </w:r>
            <w:r>
              <w:rPr>
                <w:rFonts w:hint="eastAsia"/>
              </w:rPr>
              <w:t>项目周边5</w:t>
            </w:r>
            <w:r>
              <w:t>0</w:t>
            </w:r>
            <w:r>
              <w:rPr>
                <w:rFonts w:hint="eastAsia"/>
              </w:rPr>
              <w:t>米范围内敏感点噪声预测结果</w:t>
            </w:r>
          </w:p>
          <w:tbl>
            <w:tblPr>
              <w:tblStyle w:val="3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689"/>
              <w:gridCol w:w="813"/>
              <w:gridCol w:w="819"/>
              <w:gridCol w:w="749"/>
              <w:gridCol w:w="812"/>
              <w:gridCol w:w="816"/>
              <w:gridCol w:w="501"/>
              <w:gridCol w:w="505"/>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9" w:type="pct"/>
                  <w:vMerge w:val="restart"/>
                  <w:vAlign w:val="center"/>
                </w:tcPr>
                <w:p>
                  <w:pPr>
                    <w:pStyle w:val="56"/>
                  </w:pPr>
                  <w:r>
                    <w:t>厂界位置</w:t>
                  </w:r>
                </w:p>
              </w:tc>
              <w:tc>
                <w:tcPr>
                  <w:tcW w:w="1567" w:type="pct"/>
                  <w:gridSpan w:val="3"/>
                  <w:vAlign w:val="center"/>
                </w:tcPr>
                <w:p>
                  <w:pPr>
                    <w:pStyle w:val="56"/>
                  </w:pPr>
                  <w:r>
                    <w:t>日间</w:t>
                  </w:r>
                </w:p>
              </w:tc>
              <w:tc>
                <w:tcPr>
                  <w:tcW w:w="1605" w:type="pct"/>
                  <w:gridSpan w:val="3"/>
                  <w:vAlign w:val="center"/>
                </w:tcPr>
                <w:p>
                  <w:pPr>
                    <w:pStyle w:val="56"/>
                  </w:pPr>
                  <w:r>
                    <w:t>夜间</w:t>
                  </w:r>
                </w:p>
              </w:tc>
              <w:tc>
                <w:tcPr>
                  <w:tcW w:w="679" w:type="pct"/>
                  <w:gridSpan w:val="2"/>
                  <w:vAlign w:val="center"/>
                </w:tcPr>
                <w:p>
                  <w:pPr>
                    <w:pStyle w:val="56"/>
                  </w:pPr>
                  <w:r>
                    <w:t>执行标准</w:t>
                  </w:r>
                </w:p>
              </w:tc>
              <w:tc>
                <w:tcPr>
                  <w:tcW w:w="409" w:type="pct"/>
                  <w:vMerge w:val="restart"/>
                  <w:vAlign w:val="center"/>
                </w:tcPr>
                <w:p>
                  <w:pPr>
                    <w:pStyle w:val="56"/>
                  </w:pPr>
                  <w: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9" w:type="pct"/>
                  <w:vMerge w:val="continue"/>
                  <w:vAlign w:val="center"/>
                </w:tcPr>
                <w:p>
                  <w:pPr>
                    <w:pStyle w:val="56"/>
                  </w:pPr>
                </w:p>
              </w:tc>
              <w:tc>
                <w:tcPr>
                  <w:tcW w:w="465" w:type="pct"/>
                  <w:vAlign w:val="center"/>
                </w:tcPr>
                <w:p>
                  <w:pPr>
                    <w:pStyle w:val="56"/>
                  </w:pPr>
                  <w:r>
                    <w:t>贡献值</w:t>
                  </w:r>
                </w:p>
              </w:tc>
              <w:tc>
                <w:tcPr>
                  <w:tcW w:w="549" w:type="pct"/>
                  <w:vAlign w:val="center"/>
                </w:tcPr>
                <w:p>
                  <w:pPr>
                    <w:pStyle w:val="56"/>
                  </w:pPr>
                  <w:r>
                    <w:t>背景值</w:t>
                  </w:r>
                </w:p>
              </w:tc>
              <w:tc>
                <w:tcPr>
                  <w:tcW w:w="553" w:type="pct"/>
                  <w:vAlign w:val="center"/>
                </w:tcPr>
                <w:p>
                  <w:pPr>
                    <w:pStyle w:val="56"/>
                  </w:pPr>
                  <w:r>
                    <w:t>预测值</w:t>
                  </w:r>
                </w:p>
              </w:tc>
              <w:tc>
                <w:tcPr>
                  <w:tcW w:w="506" w:type="pct"/>
                  <w:vAlign w:val="center"/>
                </w:tcPr>
                <w:p>
                  <w:pPr>
                    <w:pStyle w:val="56"/>
                  </w:pPr>
                  <w:r>
                    <w:t>贡献值</w:t>
                  </w:r>
                </w:p>
              </w:tc>
              <w:tc>
                <w:tcPr>
                  <w:tcW w:w="548" w:type="pct"/>
                  <w:vAlign w:val="center"/>
                </w:tcPr>
                <w:p>
                  <w:pPr>
                    <w:pStyle w:val="56"/>
                  </w:pPr>
                  <w:r>
                    <w:t>背景值</w:t>
                  </w:r>
                </w:p>
              </w:tc>
              <w:tc>
                <w:tcPr>
                  <w:tcW w:w="551" w:type="pct"/>
                  <w:vAlign w:val="center"/>
                </w:tcPr>
                <w:p>
                  <w:pPr>
                    <w:pStyle w:val="56"/>
                  </w:pPr>
                  <w:r>
                    <w:t>预测值</w:t>
                  </w:r>
                </w:p>
              </w:tc>
              <w:tc>
                <w:tcPr>
                  <w:tcW w:w="338" w:type="pct"/>
                  <w:vAlign w:val="center"/>
                </w:tcPr>
                <w:p>
                  <w:pPr>
                    <w:pStyle w:val="56"/>
                  </w:pPr>
                  <w:r>
                    <w:t>昼间</w:t>
                  </w:r>
                </w:p>
              </w:tc>
              <w:tc>
                <w:tcPr>
                  <w:tcW w:w="341" w:type="pct"/>
                  <w:vAlign w:val="center"/>
                </w:tcPr>
                <w:p>
                  <w:pPr>
                    <w:pStyle w:val="56"/>
                  </w:pPr>
                  <w:r>
                    <w:t>夜间</w:t>
                  </w:r>
                </w:p>
              </w:tc>
              <w:tc>
                <w:tcPr>
                  <w:tcW w:w="409" w:type="pct"/>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39" w:type="pct"/>
                  <w:vAlign w:val="center"/>
                </w:tcPr>
                <w:p>
                  <w:pPr>
                    <w:pStyle w:val="56"/>
                  </w:pPr>
                  <w:r>
                    <w:rPr>
                      <w:rFonts w:hint="eastAsia"/>
                      <w:lang w:eastAsia="zh-CN"/>
                    </w:rPr>
                    <w:t>圆梦园</w:t>
                  </w:r>
                </w:p>
              </w:tc>
              <w:tc>
                <w:tcPr>
                  <w:tcW w:w="465" w:type="pct"/>
                  <w:vAlign w:val="center"/>
                </w:tcPr>
                <w:p>
                  <w:pPr>
                    <w:pStyle w:val="56"/>
                    <w:rPr>
                      <w:lang w:eastAsia="zh-CN"/>
                    </w:rPr>
                  </w:pPr>
                  <w:r>
                    <w:rPr>
                      <w:lang w:eastAsia="zh-CN"/>
                    </w:rPr>
                    <w:t>48.41</w:t>
                  </w:r>
                </w:p>
              </w:tc>
              <w:tc>
                <w:tcPr>
                  <w:tcW w:w="549" w:type="pct"/>
                  <w:vAlign w:val="center"/>
                </w:tcPr>
                <w:p>
                  <w:pPr>
                    <w:pStyle w:val="56"/>
                    <w:rPr>
                      <w:lang w:eastAsia="zh-CN"/>
                    </w:rPr>
                  </w:pPr>
                  <w:r>
                    <w:rPr>
                      <w:rFonts w:hint="eastAsia"/>
                      <w:lang w:eastAsia="zh-CN"/>
                    </w:rPr>
                    <w:t>5</w:t>
                  </w:r>
                  <w:r>
                    <w:rPr>
                      <w:lang w:eastAsia="zh-CN"/>
                    </w:rPr>
                    <w:t>8</w:t>
                  </w:r>
                </w:p>
              </w:tc>
              <w:tc>
                <w:tcPr>
                  <w:tcW w:w="553" w:type="pct"/>
                  <w:vAlign w:val="center"/>
                </w:tcPr>
                <w:p>
                  <w:pPr>
                    <w:pStyle w:val="56"/>
                    <w:rPr>
                      <w:lang w:eastAsia="zh-CN"/>
                    </w:rPr>
                  </w:pPr>
                  <w:r>
                    <w:rPr>
                      <w:rFonts w:hint="eastAsia"/>
                      <w:lang w:eastAsia="zh-CN"/>
                    </w:rPr>
                    <w:t>5</w:t>
                  </w:r>
                  <w:r>
                    <w:rPr>
                      <w:lang w:eastAsia="zh-CN"/>
                    </w:rPr>
                    <w:t>8.45</w:t>
                  </w:r>
                </w:p>
              </w:tc>
              <w:tc>
                <w:tcPr>
                  <w:tcW w:w="506" w:type="pct"/>
                  <w:vAlign w:val="center"/>
                </w:tcPr>
                <w:p>
                  <w:pPr>
                    <w:pStyle w:val="56"/>
                    <w:rPr>
                      <w:lang w:eastAsia="zh-CN"/>
                    </w:rPr>
                  </w:pPr>
                  <w:r>
                    <w:rPr>
                      <w:lang w:eastAsia="zh-CN"/>
                    </w:rPr>
                    <w:t>44.65</w:t>
                  </w:r>
                </w:p>
              </w:tc>
              <w:tc>
                <w:tcPr>
                  <w:tcW w:w="548" w:type="pct"/>
                  <w:vAlign w:val="center"/>
                </w:tcPr>
                <w:p>
                  <w:pPr>
                    <w:pStyle w:val="56"/>
                    <w:rPr>
                      <w:lang w:eastAsia="zh-CN"/>
                    </w:rPr>
                  </w:pPr>
                  <w:r>
                    <w:rPr>
                      <w:rFonts w:hint="eastAsia"/>
                      <w:lang w:eastAsia="zh-CN"/>
                    </w:rPr>
                    <w:t>4</w:t>
                  </w:r>
                  <w:r>
                    <w:rPr>
                      <w:lang w:eastAsia="zh-CN"/>
                    </w:rPr>
                    <w:t>8.5</w:t>
                  </w:r>
                </w:p>
              </w:tc>
              <w:tc>
                <w:tcPr>
                  <w:tcW w:w="551" w:type="pct"/>
                  <w:vAlign w:val="center"/>
                </w:tcPr>
                <w:p>
                  <w:pPr>
                    <w:pStyle w:val="56"/>
                    <w:rPr>
                      <w:lang w:eastAsia="zh-CN"/>
                    </w:rPr>
                  </w:pPr>
                  <w:r>
                    <w:rPr>
                      <w:lang w:eastAsia="zh-CN"/>
                    </w:rPr>
                    <w:t>50</w:t>
                  </w:r>
                </w:p>
              </w:tc>
              <w:tc>
                <w:tcPr>
                  <w:tcW w:w="338" w:type="pct"/>
                  <w:vAlign w:val="center"/>
                </w:tcPr>
                <w:p>
                  <w:pPr>
                    <w:pStyle w:val="56"/>
                    <w:rPr>
                      <w:lang w:eastAsia="zh-CN"/>
                    </w:rPr>
                  </w:pPr>
                  <w:r>
                    <w:rPr>
                      <w:rFonts w:hint="eastAsia"/>
                      <w:lang w:eastAsia="zh-CN"/>
                    </w:rPr>
                    <w:t>6</w:t>
                  </w:r>
                  <w:r>
                    <w:rPr>
                      <w:lang w:eastAsia="zh-CN"/>
                    </w:rPr>
                    <w:t>5</w:t>
                  </w:r>
                </w:p>
              </w:tc>
              <w:tc>
                <w:tcPr>
                  <w:tcW w:w="341" w:type="pct"/>
                  <w:vAlign w:val="center"/>
                </w:tcPr>
                <w:p>
                  <w:pPr>
                    <w:pStyle w:val="56"/>
                    <w:rPr>
                      <w:lang w:eastAsia="zh-CN"/>
                    </w:rPr>
                  </w:pPr>
                  <w:r>
                    <w:rPr>
                      <w:rFonts w:hint="eastAsia"/>
                      <w:lang w:eastAsia="zh-CN"/>
                    </w:rPr>
                    <w:t>5</w:t>
                  </w:r>
                  <w:r>
                    <w:rPr>
                      <w:lang w:eastAsia="zh-CN"/>
                    </w:rPr>
                    <w:t>5</w:t>
                  </w:r>
                </w:p>
              </w:tc>
              <w:tc>
                <w:tcPr>
                  <w:tcW w:w="409" w:type="pct"/>
                  <w:vAlign w:val="center"/>
                </w:tcPr>
                <w:p>
                  <w:pPr>
                    <w:pStyle w:val="56"/>
                  </w:pPr>
                  <w:r>
                    <w:rPr>
                      <w:rFonts w:hint="eastAsia"/>
                    </w:rPr>
                    <w:t>是</w:t>
                  </w:r>
                </w:p>
              </w:tc>
            </w:tr>
          </w:tbl>
          <w:p>
            <w:pPr>
              <w:pStyle w:val="56"/>
            </w:pPr>
          </w:p>
          <w:p>
            <w:pPr>
              <w:ind w:firstLine="480"/>
            </w:pPr>
            <w:r>
              <w:rPr>
                <w:rFonts w:hint="eastAsia"/>
              </w:rPr>
              <w:t>综上，根据上表的噪声预测结果可知，本项目实验设备经过隔声、减振等措施，再经自然衰减后，可使项目四周边界符合《工业企业厂界环境噪声排放标准》（GB12348-2008）</w:t>
            </w:r>
            <w:r>
              <w:t>3</w:t>
            </w:r>
            <w:r>
              <w:rPr>
                <w:rFonts w:hint="eastAsia"/>
              </w:rPr>
              <w:t>类标准（昼间≤6</w:t>
            </w:r>
            <w:r>
              <w:t>5</w:t>
            </w:r>
            <w:r>
              <w:rPr>
                <w:rFonts w:hint="eastAsia"/>
              </w:rPr>
              <w:t>dB(A)，夜间≤</w:t>
            </w:r>
            <w:r>
              <w:t>55</w:t>
            </w:r>
            <w:r>
              <w:rPr>
                <w:rFonts w:hint="eastAsia"/>
              </w:rPr>
              <w:t>dB(A)），周边敏感点符合</w:t>
            </w:r>
            <w:r>
              <w:rPr>
                <w:szCs w:val="20"/>
              </w:rPr>
              <w:t>《声环境质量标准》（GB3096-2008）的3类标准，即昼间≤65dB(A)、夜间≤55dB(A)</w:t>
            </w:r>
            <w:r>
              <w:rPr>
                <w:rFonts w:hint="eastAsia"/>
                <w:szCs w:val="20"/>
              </w:rPr>
              <w:t>，</w:t>
            </w:r>
            <w:r>
              <w:rPr>
                <w:rFonts w:hint="eastAsia"/>
              </w:rPr>
              <w:t>不会对周围环境造成明显影响。</w:t>
            </w:r>
          </w:p>
          <w:p>
            <w:pPr>
              <w:pStyle w:val="5"/>
              <w:rPr>
                <w:lang w:eastAsia="zh-CN"/>
              </w:rPr>
            </w:pPr>
            <w:r>
              <w:rPr>
                <w:rFonts w:hint="eastAsia"/>
                <w:lang w:eastAsia="zh-CN"/>
              </w:rPr>
              <w:t>噪声污染防治措施</w:t>
            </w:r>
          </w:p>
          <w:p>
            <w:pPr>
              <w:ind w:firstLine="480"/>
              <w:rPr>
                <w:lang w:val="zh-CN"/>
              </w:rPr>
            </w:pPr>
            <w:r>
              <w:rPr>
                <w:rFonts w:hint="eastAsia"/>
                <w:lang w:val="zh-CN"/>
              </w:rPr>
              <w:t>（1）企业在选购设备时购置符合国家颁布的各类机械噪声标准的低噪声设备，保证运行时能符合工业企业车间噪声卫生标准，同时能保证达到厂界噪声控制值。</w:t>
            </w:r>
          </w:p>
          <w:p>
            <w:pPr>
              <w:ind w:firstLine="480"/>
              <w:rPr>
                <w:lang w:val="zh-CN"/>
              </w:rPr>
            </w:pPr>
            <w:r>
              <w:rPr>
                <w:rFonts w:hint="eastAsia"/>
                <w:lang w:val="zh-CN"/>
              </w:rPr>
              <w:t>（2）对噪声污染大的设备，如风机等须配置减振装置，安装隔声罩或消声器。</w:t>
            </w:r>
          </w:p>
          <w:p>
            <w:pPr>
              <w:ind w:firstLine="480"/>
              <w:rPr>
                <w:lang w:val="zh-CN"/>
              </w:rPr>
            </w:pPr>
            <w:r>
              <w:rPr>
                <w:rFonts w:hint="eastAsia"/>
                <w:lang w:val="zh-CN"/>
              </w:rPr>
              <w:t>（3）在噪声传播途径上采取措施加以控制，加强噪声源车间的建筑围护结构均以封闭为主，利用建筑物阻隔声音的传播。</w:t>
            </w:r>
          </w:p>
          <w:p>
            <w:pPr>
              <w:ind w:firstLine="480"/>
              <w:rPr>
                <w:lang w:val="zh-CN"/>
              </w:rPr>
            </w:pPr>
            <w:r>
              <w:rPr>
                <w:rFonts w:hint="eastAsia"/>
                <w:lang w:val="zh-CN"/>
              </w:rPr>
              <w:t>（4）项目噪声污染防治工作执行“三同时”制度。对防震垫、隔声、吸声、消声器等降噪设备应进行定期检查、维修，对不符合要求的及时更换，防止机械噪声的升高。</w:t>
            </w:r>
          </w:p>
          <w:p>
            <w:pPr>
              <w:ind w:firstLine="480"/>
            </w:pPr>
            <w:r>
              <w:rPr>
                <w:rFonts w:hint="eastAsia"/>
                <w:lang w:val="zh-CN"/>
              </w:rPr>
              <w:t>（5）加强设备的维修保养，使设备处于最佳工作状态。</w:t>
            </w:r>
          </w:p>
          <w:p>
            <w:pPr>
              <w:pStyle w:val="5"/>
              <w:rPr>
                <w:lang w:eastAsia="zh-CN"/>
              </w:rPr>
            </w:pPr>
            <w:r>
              <w:rPr>
                <w:rFonts w:hint="eastAsia"/>
                <w:lang w:eastAsia="zh-CN"/>
              </w:rPr>
              <w:t>噪声监测计划</w:t>
            </w:r>
          </w:p>
          <w:p>
            <w:pPr>
              <w:ind w:firstLine="480"/>
            </w:pPr>
            <w:r>
              <w:t>根据《排污单位自行监测技术指南</w:t>
            </w:r>
            <w:r>
              <w:rPr>
                <w:rFonts w:hint="eastAsia"/>
              </w:rPr>
              <w:t xml:space="preserve"> </w:t>
            </w:r>
            <w:r>
              <w:t>总则》（HJ819-2017），制定</w:t>
            </w:r>
            <w:r>
              <w:rPr>
                <w:rFonts w:hint="eastAsia"/>
              </w:rPr>
              <w:t>本项目</w:t>
            </w:r>
            <w:r>
              <w:t>噪声监测计划如下</w:t>
            </w:r>
            <w:r>
              <w:rPr>
                <w:rFonts w:hint="eastAsia"/>
              </w:rPr>
              <w:t>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0"/>
              <w:gridCol w:w="1365"/>
              <w:gridCol w:w="1180"/>
              <w:gridCol w:w="2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5" w:type="pct"/>
                  <w:vAlign w:val="center"/>
                </w:tcPr>
                <w:p>
                  <w:pPr>
                    <w:pStyle w:val="56"/>
                  </w:pPr>
                  <w:r>
                    <w:t>监测点位</w:t>
                  </w:r>
                </w:p>
              </w:tc>
              <w:tc>
                <w:tcPr>
                  <w:tcW w:w="920" w:type="pct"/>
                  <w:vAlign w:val="center"/>
                </w:tcPr>
                <w:p>
                  <w:pPr>
                    <w:pStyle w:val="56"/>
                  </w:pPr>
                  <w:r>
                    <w:t>监测指标</w:t>
                  </w:r>
                </w:p>
              </w:tc>
              <w:tc>
                <w:tcPr>
                  <w:tcW w:w="796" w:type="pct"/>
                  <w:vAlign w:val="center"/>
                </w:tcPr>
                <w:p>
                  <w:pPr>
                    <w:pStyle w:val="56"/>
                  </w:pPr>
                  <w:r>
                    <w:t>监测频次</w:t>
                  </w:r>
                </w:p>
              </w:tc>
              <w:tc>
                <w:tcPr>
                  <w:tcW w:w="1678" w:type="pct"/>
                  <w:vAlign w:val="center"/>
                </w:tcPr>
                <w:p>
                  <w:pPr>
                    <w:pStyle w:val="56"/>
                  </w:pPr>
                  <w:r>
                    <w:t>执行环境质量标准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5" w:type="pct"/>
                  <w:vAlign w:val="center"/>
                </w:tcPr>
                <w:p>
                  <w:pPr>
                    <w:pStyle w:val="56"/>
                  </w:pPr>
                  <w:r>
                    <w:t>项目东、</w:t>
                  </w:r>
                  <w:r>
                    <w:rPr>
                      <w:rFonts w:hint="eastAsia"/>
                      <w:lang w:eastAsia="zh-CN"/>
                    </w:rPr>
                    <w:t>南、</w:t>
                  </w:r>
                  <w:r>
                    <w:t>西</w:t>
                  </w:r>
                  <w:r>
                    <w:rPr>
                      <w:rFonts w:hint="eastAsia"/>
                    </w:rPr>
                    <w:t>、北</w:t>
                  </w:r>
                  <w:r>
                    <w:t>边界外1m处</w:t>
                  </w:r>
                </w:p>
              </w:tc>
              <w:tc>
                <w:tcPr>
                  <w:tcW w:w="920" w:type="pct"/>
                  <w:vAlign w:val="center"/>
                </w:tcPr>
                <w:p>
                  <w:pPr>
                    <w:pStyle w:val="56"/>
                  </w:pPr>
                  <w:r>
                    <w:t>等效连续A声级</w:t>
                  </w:r>
                </w:p>
              </w:tc>
              <w:tc>
                <w:tcPr>
                  <w:tcW w:w="796" w:type="pct"/>
                  <w:vAlign w:val="center"/>
                </w:tcPr>
                <w:p>
                  <w:pPr>
                    <w:pStyle w:val="56"/>
                  </w:pPr>
                  <w:r>
                    <w:rPr>
                      <w:rFonts w:eastAsia="等线"/>
                    </w:rPr>
                    <w:t>1</w:t>
                  </w:r>
                  <w:r>
                    <w:t>次</w:t>
                  </w:r>
                  <w:r>
                    <w:rPr>
                      <w:rFonts w:eastAsia="等线"/>
                    </w:rPr>
                    <w:t>/</w:t>
                  </w:r>
                  <w:r>
                    <w:t>季度</w:t>
                  </w:r>
                </w:p>
              </w:tc>
              <w:tc>
                <w:tcPr>
                  <w:tcW w:w="1678" w:type="pct"/>
                  <w:vAlign w:val="center"/>
                </w:tcPr>
                <w:p>
                  <w:pPr>
                    <w:pStyle w:val="56"/>
                  </w:pPr>
                  <w:r>
                    <w:t>《工业企业厂界环境噪声排放标准》（GB12348-2008）中的3类标准</w:t>
                  </w:r>
                </w:p>
              </w:tc>
            </w:tr>
          </w:tbl>
          <w:p>
            <w:pPr>
              <w:pStyle w:val="56"/>
              <w:rPr>
                <w:lang w:val="en-US"/>
              </w:rPr>
            </w:pPr>
          </w:p>
          <w:p>
            <w:pPr>
              <w:pStyle w:val="5"/>
              <w:rPr>
                <w:lang w:eastAsia="zh-CN"/>
              </w:rPr>
            </w:pPr>
            <w:r>
              <w:rPr>
                <w:rFonts w:hint="eastAsia"/>
                <w:lang w:eastAsia="zh-CN"/>
              </w:rPr>
              <w:t>评价结论</w:t>
            </w:r>
          </w:p>
          <w:p>
            <w:pPr>
              <w:ind w:firstLine="480"/>
            </w:pPr>
            <w:r>
              <w:t>本项目运营期产生最大噪声影响情况下，在经过优选设备、合理布局、基础减振、距离衰减后，</w:t>
            </w:r>
            <w:r>
              <w:rPr>
                <w:rFonts w:hint="eastAsia"/>
              </w:rPr>
              <w:t>东、南、西、北厂</w:t>
            </w:r>
            <w:r>
              <w:t>界噪声预测值符合《工业企业厂界环境噪声排放标准》（GB12348-2008）3类标准；敏感点预测值达到《声环境质量标准》（GB3096-2008）2类标准要求。因此，在对设备进行良好的维护管理，使之良好运行的基础上，本项目运营期噪声排放对周围声环境造成的影响较小。</w:t>
            </w:r>
          </w:p>
          <w:p>
            <w:pPr>
              <w:pStyle w:val="4"/>
              <w:rPr>
                <w:lang w:eastAsia="zh-CN"/>
              </w:rPr>
            </w:pPr>
            <w:bookmarkStart w:id="130" w:name="_Toc120889823"/>
            <w:bookmarkStart w:id="131" w:name="_Toc121147752"/>
            <w:bookmarkStart w:id="132" w:name="_Toc122338520"/>
            <w:r>
              <w:rPr>
                <w:rFonts w:hint="eastAsia"/>
                <w:lang w:eastAsia="zh-CN"/>
              </w:rPr>
              <w:t>固体废物环境影响和保护措施</w:t>
            </w:r>
            <w:bookmarkEnd w:id="130"/>
            <w:bookmarkEnd w:id="131"/>
            <w:bookmarkEnd w:id="132"/>
          </w:p>
          <w:p>
            <w:pPr>
              <w:pStyle w:val="5"/>
              <w:rPr>
                <w:lang w:eastAsia="zh-CN"/>
              </w:rPr>
            </w:pPr>
            <w:r>
              <w:rPr>
                <w:rFonts w:hint="eastAsia"/>
                <w:lang w:eastAsia="zh-CN"/>
              </w:rPr>
              <w:t>固体废物产生情况</w:t>
            </w:r>
          </w:p>
          <w:p>
            <w:pPr>
              <w:ind w:firstLine="480"/>
            </w:pPr>
            <w:r>
              <w:rPr>
                <w:rFonts w:hint="eastAsia"/>
              </w:rPr>
              <w:t>本项目运营期产生的固体废物分为生活垃圾、一般工业固体废物和危险废物/医疗废物。</w:t>
            </w:r>
          </w:p>
          <w:p>
            <w:pPr>
              <w:ind w:firstLine="480"/>
              <w:rPr>
                <w:lang w:val="zh-CN"/>
              </w:rPr>
            </w:pPr>
            <w:r>
              <w:rPr>
                <w:rFonts w:hint="eastAsia"/>
                <w:lang w:val="zh-CN"/>
              </w:rPr>
              <w:t>（1）生活垃圾</w:t>
            </w:r>
          </w:p>
          <w:p>
            <w:pPr>
              <w:ind w:firstLine="480"/>
            </w:pPr>
            <w:r>
              <w:rPr>
                <w:rFonts w:hint="eastAsia"/>
              </w:rPr>
              <w:t>本项目劳动定员</w:t>
            </w:r>
            <w:r>
              <w:t>15</w:t>
            </w:r>
            <w:r>
              <w:rPr>
                <w:rFonts w:hint="eastAsia"/>
              </w:rPr>
              <w:t>人，职工生活垃圾产生量按0.5kg/人•d，年工作36</w:t>
            </w:r>
            <w:r>
              <w:t>5</w:t>
            </w:r>
            <w:r>
              <w:rPr>
                <w:rFonts w:hint="eastAsia"/>
              </w:rPr>
              <w:t>天，则生活垃圾产生量约为</w:t>
            </w:r>
            <w:r>
              <w:t>2.74</w:t>
            </w:r>
            <w:r>
              <w:rPr>
                <w:rFonts w:hint="eastAsia"/>
              </w:rPr>
              <w:t>t/a，经收集后由环卫部门定期清运。</w:t>
            </w:r>
          </w:p>
          <w:p>
            <w:pPr>
              <w:ind w:firstLine="480"/>
              <w:rPr>
                <w:lang w:val="zh-CN"/>
              </w:rPr>
            </w:pPr>
            <w:r>
              <w:rPr>
                <w:rFonts w:hint="eastAsia"/>
                <w:lang w:val="zh-CN"/>
              </w:rPr>
              <w:t>（2）一般工业固体废物</w:t>
            </w:r>
          </w:p>
          <w:p>
            <w:pPr>
              <w:ind w:firstLine="480"/>
              <w:rPr>
                <w:lang w:val="zh-CN"/>
              </w:rPr>
            </w:pPr>
            <w:r>
              <w:rPr>
                <w:rFonts w:hint="eastAsia"/>
                <w:lang w:val="zh-CN"/>
              </w:rPr>
              <w:t>①废包装材料</w:t>
            </w:r>
          </w:p>
          <w:p>
            <w:pPr>
              <w:ind w:firstLine="480"/>
              <w:rPr>
                <w:lang w:val="zh-CN"/>
              </w:rPr>
            </w:pPr>
            <w:r>
              <w:rPr>
                <w:rFonts w:hint="eastAsia"/>
                <w:lang w:val="zh-CN"/>
              </w:rPr>
              <w:t>项目原辅材料拆封时会产生一定废弃废包装材料，包装过程会使用纸箱和包装纸、袋进行包装，根据日常生产经验，废包装材料的产生总量约为</w:t>
            </w:r>
            <w:r>
              <w:rPr>
                <w:lang w:val="zh-CN"/>
              </w:rPr>
              <w:t>1.2</w:t>
            </w:r>
            <w:r>
              <w:rPr>
                <w:rFonts w:hint="eastAsia"/>
                <w:lang w:val="zh-CN"/>
              </w:rPr>
              <w:t>t/a，属于一般工业固体废物，根据《一般固体废物分类与代码》（GB/T39198-2020），本项目产生的废包装材料废物代码为900-999-99，收集后交由资源回收单位回收处理。</w:t>
            </w:r>
          </w:p>
          <w:p>
            <w:pPr>
              <w:ind w:firstLine="480"/>
              <w:rPr>
                <w:lang w:val="zh-CN"/>
              </w:rPr>
            </w:pPr>
            <w:r>
              <w:rPr>
                <w:rFonts w:hint="eastAsia"/>
                <w:lang w:val="zh-CN"/>
              </w:rPr>
              <w:t>②废反渗透膜</w:t>
            </w:r>
          </w:p>
          <w:p>
            <w:pPr>
              <w:ind w:firstLine="480"/>
              <w:rPr>
                <w:lang w:val="zh-CN"/>
              </w:rPr>
            </w:pPr>
            <w:r>
              <w:rPr>
                <w:rFonts w:hint="eastAsia"/>
                <w:lang w:val="zh-CN"/>
              </w:rPr>
              <w:t>本项目设有1台纯水装置，纯水装置中的反渗透膜每年更换一次，废反渗透膜的产生量约为0.01t/a。由于纯水装置的原水为新鲜自来水，因此废反渗透膜截留的主要是盐分、颗粒物等物质，则属于一般工业固体废物，根据《一般固体废物分类与代码》（GB/T39198-2020），本项目产生的废渗透膜废物代码为900-999-99，由纯水系统安装公司负责上门更换并回收废渗透膜。</w:t>
            </w:r>
          </w:p>
          <w:p>
            <w:pPr>
              <w:ind w:firstLine="480"/>
              <w:rPr>
                <w:lang w:val="zh-CN"/>
              </w:rPr>
            </w:pPr>
            <w:r>
              <w:rPr>
                <w:rFonts w:hint="eastAsia"/>
                <w:lang w:val="zh-CN"/>
              </w:rPr>
              <w:t>（3）危险废物/医疗废物</w:t>
            </w:r>
          </w:p>
          <w:p>
            <w:pPr>
              <w:ind w:firstLine="480"/>
              <w:rPr>
                <w:lang w:val="zh-CN"/>
              </w:rPr>
            </w:pPr>
            <w:r>
              <w:rPr>
                <w:rFonts w:hint="eastAsia"/>
                <w:lang w:val="zh-CN"/>
              </w:rPr>
              <w:t>①废样品及检测废液</w:t>
            </w:r>
          </w:p>
          <w:p>
            <w:pPr>
              <w:ind w:firstLine="480"/>
              <w:rPr>
                <w:lang w:val="zh-CN"/>
              </w:rPr>
            </w:pPr>
            <w:r>
              <w:rPr>
                <w:rFonts w:hint="eastAsia"/>
                <w:lang w:val="zh-CN"/>
              </w:rPr>
              <w:t>项目实验过程中会产生废样本，项目检测量为</w:t>
            </w:r>
            <w:r>
              <w:rPr>
                <w:lang w:val="zh-CN"/>
              </w:rPr>
              <w:t>112.5</w:t>
            </w:r>
            <w:r>
              <w:rPr>
                <w:rFonts w:hint="eastAsia"/>
                <w:lang w:val="zh-CN"/>
              </w:rPr>
              <w:t>万次/年，按每个废样本10g计，则每年废样本产生量为1</w:t>
            </w:r>
            <w:r>
              <w:rPr>
                <w:lang w:val="zh-CN"/>
              </w:rPr>
              <w:t>1.25</w:t>
            </w:r>
            <w:r>
              <w:rPr>
                <w:rFonts w:hint="eastAsia"/>
                <w:lang w:val="zh-CN"/>
              </w:rPr>
              <w:t>t/a。</w:t>
            </w:r>
          </w:p>
          <w:p>
            <w:pPr>
              <w:ind w:firstLine="480"/>
              <w:rPr>
                <w:lang w:val="zh-CN"/>
              </w:rPr>
            </w:pPr>
            <w:r>
              <w:rPr>
                <w:rFonts w:hint="eastAsia"/>
                <w:lang w:val="zh-CN"/>
              </w:rPr>
              <w:t>项目检验过程使用试剂盒试剂，该过程中会产生检测废液，根据下表，项目液体试剂使用量为</w:t>
            </w:r>
            <w:r>
              <w:rPr>
                <w:lang w:val="zh-CN"/>
              </w:rPr>
              <w:t>2.35</w:t>
            </w:r>
            <w:r>
              <w:rPr>
                <w:rFonts w:hint="eastAsia"/>
                <w:lang w:val="zh-CN"/>
              </w:rPr>
              <w:t>t/a，按全部作为废液计算，则项目废样本、检测废液产生量为</w:t>
            </w:r>
            <w:r>
              <w:rPr>
                <w:lang w:val="zh-CN"/>
              </w:rPr>
              <w:t>13.6</w:t>
            </w:r>
            <w:r>
              <w:rPr>
                <w:rFonts w:hint="eastAsia"/>
                <w:lang w:val="zh-CN"/>
              </w:rPr>
              <w:t>t/a。根据《国家危险废物名录》（2021年版），废样本、检测废液属于HW01医疗废物，废物代码为841-001-01，应集中收集，存在传染风险的需先进行灭菌后定期交有相关危险废物处理资质单位处理。</w:t>
            </w:r>
          </w:p>
          <w:p>
            <w:pPr>
              <w:pStyle w:val="55"/>
            </w:pP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19</w:t>
            </w:r>
            <w:r>
              <w:fldChar w:fldCharType="end"/>
            </w:r>
            <w:r>
              <w:rPr>
                <w:rFonts w:hint="eastAsia"/>
              </w:rPr>
              <w:t>项目废样品、检验废液产生量汇总</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510"/>
              <w:gridCol w:w="846"/>
              <w:gridCol w:w="1364"/>
              <w:gridCol w:w="1319"/>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56"/>
                  </w:pPr>
                  <w:r>
                    <w:rPr>
                      <w:rFonts w:hint="eastAsia"/>
                      <w:lang w:eastAsia="zh-CN"/>
                    </w:rPr>
                    <w:t>序号</w:t>
                  </w:r>
                </w:p>
              </w:tc>
              <w:tc>
                <w:tcPr>
                  <w:tcW w:w="1510" w:type="dxa"/>
                  <w:vAlign w:val="center"/>
                </w:tcPr>
                <w:p>
                  <w:pPr>
                    <w:pStyle w:val="56"/>
                  </w:pPr>
                  <w:r>
                    <w:rPr>
                      <w:rFonts w:hint="eastAsia"/>
                      <w:lang w:eastAsia="zh-CN"/>
                    </w:rPr>
                    <w:t>类别</w:t>
                  </w:r>
                </w:p>
              </w:tc>
              <w:tc>
                <w:tcPr>
                  <w:tcW w:w="3529" w:type="dxa"/>
                  <w:gridSpan w:val="3"/>
                  <w:vAlign w:val="center"/>
                </w:tcPr>
                <w:p>
                  <w:pPr>
                    <w:pStyle w:val="56"/>
                    <w:rPr>
                      <w:lang w:eastAsia="zh-CN"/>
                    </w:rPr>
                  </w:pPr>
                  <w:r>
                    <w:rPr>
                      <w:rFonts w:hint="eastAsia"/>
                      <w:lang w:eastAsia="zh-CN"/>
                    </w:rPr>
                    <w:t>年用量/盒</w:t>
                  </w:r>
                </w:p>
              </w:tc>
              <w:tc>
                <w:tcPr>
                  <w:tcW w:w="1532" w:type="dxa"/>
                  <w:vAlign w:val="center"/>
                </w:tcPr>
                <w:p>
                  <w:pPr>
                    <w:pStyle w:val="56"/>
                  </w:pPr>
                  <w:r>
                    <w:rPr>
                      <w:rFonts w:hint="eastAsia"/>
                      <w:lang w:eastAsia="zh-CN"/>
                    </w:rPr>
                    <w:t>废液年产生量（t/a）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56"/>
                    <w:rPr>
                      <w:lang w:eastAsia="zh-CN"/>
                    </w:rPr>
                  </w:pPr>
                  <w:r>
                    <w:rPr>
                      <w:rFonts w:hint="eastAsia"/>
                      <w:lang w:eastAsia="zh-CN"/>
                    </w:rPr>
                    <w:t>1</w:t>
                  </w:r>
                </w:p>
              </w:tc>
              <w:tc>
                <w:tcPr>
                  <w:tcW w:w="5039" w:type="dxa"/>
                  <w:gridSpan w:val="4"/>
                  <w:vAlign w:val="center"/>
                </w:tcPr>
                <w:p>
                  <w:pPr>
                    <w:pStyle w:val="56"/>
                    <w:rPr>
                      <w:lang w:eastAsia="zh-CN"/>
                    </w:rPr>
                  </w:pPr>
                  <w:r>
                    <w:rPr>
                      <w:rFonts w:hint="eastAsia"/>
                      <w:lang w:eastAsia="zh-CN"/>
                    </w:rPr>
                    <w:t>废样品</w:t>
                  </w:r>
                </w:p>
              </w:tc>
              <w:tc>
                <w:tcPr>
                  <w:tcW w:w="1532" w:type="dxa"/>
                  <w:vAlign w:val="center"/>
                </w:tcPr>
                <w:p>
                  <w:pPr>
                    <w:pStyle w:val="56"/>
                    <w:rPr>
                      <w:lang w:eastAsia="zh-CN"/>
                    </w:rPr>
                  </w:pPr>
                  <w:r>
                    <w:rPr>
                      <w:rFonts w:hint="eastAsia"/>
                      <w:lang w:eastAsia="zh-CN"/>
                    </w:rPr>
                    <w:t>1</w:t>
                  </w:r>
                  <w:r>
                    <w:rPr>
                      <w:lang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56"/>
                    <w:rPr>
                      <w:lang w:eastAsia="zh-CN"/>
                    </w:rPr>
                  </w:pPr>
                  <w:r>
                    <w:rPr>
                      <w:rFonts w:hint="eastAsia"/>
                      <w:lang w:eastAsia="zh-CN"/>
                    </w:rPr>
                    <w:t>2</w:t>
                  </w:r>
                </w:p>
              </w:tc>
              <w:tc>
                <w:tcPr>
                  <w:tcW w:w="1510" w:type="dxa"/>
                  <w:vAlign w:val="center"/>
                </w:tcPr>
                <w:p>
                  <w:pPr>
                    <w:pStyle w:val="56"/>
                    <w:rPr>
                      <w:lang w:eastAsia="zh-CN"/>
                    </w:rPr>
                  </w:pPr>
                  <w:r>
                    <w:rPr>
                      <w:rFonts w:hint="eastAsia"/>
                      <w:lang w:eastAsia="zh-CN"/>
                    </w:rPr>
                    <w:t>新冠试剂盒</w:t>
                  </w:r>
                </w:p>
              </w:tc>
              <w:tc>
                <w:tcPr>
                  <w:tcW w:w="846" w:type="dxa"/>
                  <w:vAlign w:val="center"/>
                </w:tcPr>
                <w:p>
                  <w:pPr>
                    <w:pStyle w:val="56"/>
                    <w:rPr>
                      <w:lang w:eastAsia="zh-CN"/>
                    </w:rPr>
                  </w:pPr>
                  <w:r>
                    <w:rPr>
                      <w:rFonts w:hint="eastAsia"/>
                      <w:lang w:eastAsia="zh-CN"/>
                    </w:rPr>
                    <w:t>3</w:t>
                  </w:r>
                  <w:r>
                    <w:rPr>
                      <w:lang w:eastAsia="zh-CN"/>
                    </w:rPr>
                    <w:t>00000</w:t>
                  </w:r>
                </w:p>
              </w:tc>
              <w:tc>
                <w:tcPr>
                  <w:tcW w:w="1364" w:type="dxa"/>
                  <w:vAlign w:val="center"/>
                </w:tcPr>
                <w:p>
                  <w:pPr>
                    <w:pStyle w:val="56"/>
                    <w:rPr>
                      <w:lang w:eastAsia="zh-CN"/>
                    </w:rPr>
                  </w:pPr>
                  <w:r>
                    <w:rPr>
                      <w:rFonts w:hint="eastAsia"/>
                      <w:lang w:eastAsia="zh-CN"/>
                    </w:rPr>
                    <w:t>4测试/盒</w:t>
                  </w:r>
                </w:p>
              </w:tc>
              <w:tc>
                <w:tcPr>
                  <w:tcW w:w="1319" w:type="dxa"/>
                  <w:vAlign w:val="center"/>
                </w:tcPr>
                <w:p>
                  <w:pPr>
                    <w:pStyle w:val="56"/>
                    <w:rPr>
                      <w:lang w:eastAsia="zh-CN"/>
                    </w:rPr>
                  </w:pPr>
                  <w:r>
                    <w:rPr>
                      <w:lang w:eastAsia="zh-CN"/>
                    </w:rPr>
                    <w:t>1.5</w:t>
                  </w:r>
                  <w:r>
                    <w:rPr>
                      <w:rFonts w:hint="eastAsia"/>
                      <w:lang w:eastAsia="zh-CN"/>
                    </w:rPr>
                    <w:t>mL</w:t>
                  </w:r>
                  <w:r>
                    <w:rPr>
                      <w:lang w:eastAsia="zh-CN"/>
                    </w:rPr>
                    <w:t>/</w:t>
                  </w:r>
                  <w:r>
                    <w:rPr>
                      <w:rFonts w:hint="eastAsia"/>
                      <w:lang w:eastAsia="zh-CN"/>
                    </w:rPr>
                    <w:t>测试</w:t>
                  </w:r>
                </w:p>
              </w:tc>
              <w:tc>
                <w:tcPr>
                  <w:tcW w:w="1532" w:type="dxa"/>
                  <w:vAlign w:val="center"/>
                </w:tcPr>
                <w:p>
                  <w:pPr>
                    <w:pStyle w:val="56"/>
                    <w:rPr>
                      <w:lang w:eastAsia="zh-CN"/>
                    </w:rPr>
                  </w:pPr>
                  <w:r>
                    <w:rPr>
                      <w:rFonts w:hint="eastAsia"/>
                      <w:lang w:eastAsia="zh-CN"/>
                    </w:rPr>
                    <w:t>1</w:t>
                  </w:r>
                  <w:r>
                    <w:rPr>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56"/>
                    <w:rPr>
                      <w:lang w:eastAsia="zh-CN"/>
                    </w:rPr>
                  </w:pPr>
                  <w:r>
                    <w:rPr>
                      <w:rFonts w:hint="eastAsia"/>
                      <w:lang w:eastAsia="zh-CN"/>
                    </w:rPr>
                    <w:t>3</w:t>
                  </w:r>
                </w:p>
              </w:tc>
              <w:tc>
                <w:tcPr>
                  <w:tcW w:w="1510" w:type="dxa"/>
                  <w:vAlign w:val="center"/>
                </w:tcPr>
                <w:p>
                  <w:pPr>
                    <w:pStyle w:val="56"/>
                  </w:pPr>
                  <w:r>
                    <w:rPr>
                      <w:rFonts w:hint="eastAsia"/>
                      <w:lang w:eastAsia="zh-CN"/>
                    </w:rPr>
                    <w:t>免疫试剂盒</w:t>
                  </w:r>
                </w:p>
              </w:tc>
              <w:tc>
                <w:tcPr>
                  <w:tcW w:w="846" w:type="dxa"/>
                  <w:vAlign w:val="center"/>
                </w:tcPr>
                <w:p>
                  <w:pPr>
                    <w:pStyle w:val="56"/>
                    <w:rPr>
                      <w:lang w:eastAsia="zh-CN"/>
                    </w:rPr>
                  </w:pPr>
                  <w:r>
                    <w:rPr>
                      <w:rFonts w:hint="eastAsia"/>
                      <w:lang w:eastAsia="zh-CN"/>
                    </w:rPr>
                    <w:t>2</w:t>
                  </w:r>
                  <w:r>
                    <w:rPr>
                      <w:lang w:eastAsia="zh-CN"/>
                    </w:rPr>
                    <w:t>00</w:t>
                  </w:r>
                </w:p>
              </w:tc>
              <w:tc>
                <w:tcPr>
                  <w:tcW w:w="1364" w:type="dxa"/>
                  <w:vAlign w:val="center"/>
                </w:tcPr>
                <w:p>
                  <w:pPr>
                    <w:pStyle w:val="66"/>
                    <w:rPr>
                      <w:lang w:eastAsia="zh-CN"/>
                    </w:rPr>
                  </w:pPr>
                  <w:r>
                    <w:rPr>
                      <w:rFonts w:hint="eastAsia"/>
                      <w:lang w:eastAsia="zh-CN"/>
                    </w:rPr>
                    <w:t>1</w:t>
                  </w:r>
                  <w:r>
                    <w:rPr>
                      <w:lang w:eastAsia="zh-CN"/>
                    </w:rPr>
                    <w:t>00</w:t>
                  </w:r>
                  <w:r>
                    <w:rPr>
                      <w:rFonts w:hint="eastAsia"/>
                      <w:lang w:eastAsia="zh-CN"/>
                    </w:rPr>
                    <w:t>测试/盒</w:t>
                  </w:r>
                </w:p>
              </w:tc>
              <w:tc>
                <w:tcPr>
                  <w:tcW w:w="1319" w:type="dxa"/>
                  <w:vAlign w:val="center"/>
                </w:tcPr>
                <w:p>
                  <w:pPr>
                    <w:pStyle w:val="66"/>
                  </w:pPr>
                  <w:r>
                    <w:rPr>
                      <w:rFonts w:hint="eastAsia"/>
                    </w:rPr>
                    <w:t>5mL/反应</w:t>
                  </w:r>
                </w:p>
              </w:tc>
              <w:tc>
                <w:tcPr>
                  <w:tcW w:w="1532" w:type="dxa"/>
                  <w:vAlign w:val="center"/>
                </w:tcPr>
                <w:p>
                  <w:pPr>
                    <w:pStyle w:val="56"/>
                    <w:rPr>
                      <w:lang w:eastAsia="zh-CN"/>
                    </w:rPr>
                  </w:pPr>
                  <w:r>
                    <w:rPr>
                      <w:rFonts w:hint="eastAsia"/>
                      <w:lang w:eastAsia="zh-CN"/>
                    </w:rPr>
                    <w:t>0</w:t>
                  </w:r>
                  <w:r>
                    <w:rPr>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1" w:type="dxa"/>
                  <w:vAlign w:val="center"/>
                </w:tcPr>
                <w:p>
                  <w:pPr>
                    <w:pStyle w:val="56"/>
                    <w:rPr>
                      <w:lang w:eastAsia="zh-CN"/>
                    </w:rPr>
                  </w:pPr>
                  <w:r>
                    <w:rPr>
                      <w:rFonts w:hint="eastAsia"/>
                      <w:lang w:eastAsia="zh-CN"/>
                    </w:rPr>
                    <w:t>4</w:t>
                  </w:r>
                </w:p>
              </w:tc>
              <w:tc>
                <w:tcPr>
                  <w:tcW w:w="1510" w:type="dxa"/>
                  <w:vAlign w:val="center"/>
                </w:tcPr>
                <w:p>
                  <w:pPr>
                    <w:pStyle w:val="56"/>
                    <w:rPr>
                      <w:lang w:eastAsia="zh-CN"/>
                    </w:rPr>
                  </w:pPr>
                  <w:r>
                    <w:rPr>
                      <w:rFonts w:hint="eastAsia"/>
                      <w:lang w:eastAsia="zh-CN"/>
                    </w:rPr>
                    <w:t>PCR试剂盒</w:t>
                  </w:r>
                </w:p>
              </w:tc>
              <w:tc>
                <w:tcPr>
                  <w:tcW w:w="846" w:type="dxa"/>
                  <w:vAlign w:val="center"/>
                </w:tcPr>
                <w:p>
                  <w:pPr>
                    <w:pStyle w:val="56"/>
                    <w:rPr>
                      <w:lang w:eastAsia="zh-CN"/>
                    </w:rPr>
                  </w:pPr>
                  <w:r>
                    <w:rPr>
                      <w:rFonts w:hint="eastAsia"/>
                      <w:lang w:eastAsia="zh-CN"/>
                    </w:rPr>
                    <w:t>3</w:t>
                  </w:r>
                  <w:r>
                    <w:rPr>
                      <w:lang w:eastAsia="zh-CN"/>
                    </w:rPr>
                    <w:t>00</w:t>
                  </w:r>
                </w:p>
              </w:tc>
              <w:tc>
                <w:tcPr>
                  <w:tcW w:w="1364" w:type="dxa"/>
                  <w:vAlign w:val="center"/>
                </w:tcPr>
                <w:p>
                  <w:pPr>
                    <w:pStyle w:val="66"/>
                  </w:pPr>
                  <w:r>
                    <w:rPr>
                      <w:rFonts w:hint="eastAsia"/>
                      <w:lang w:eastAsia="zh-CN"/>
                    </w:rPr>
                    <w:t>1</w:t>
                  </w:r>
                  <w:r>
                    <w:rPr>
                      <w:lang w:eastAsia="zh-CN"/>
                    </w:rPr>
                    <w:t>00</w:t>
                  </w:r>
                  <w:r>
                    <w:rPr>
                      <w:rFonts w:hint="eastAsia"/>
                      <w:lang w:eastAsia="zh-CN"/>
                    </w:rPr>
                    <w:t>测试/盒</w:t>
                  </w:r>
                </w:p>
              </w:tc>
              <w:tc>
                <w:tcPr>
                  <w:tcW w:w="1319" w:type="dxa"/>
                  <w:vAlign w:val="center"/>
                </w:tcPr>
                <w:p>
                  <w:pPr>
                    <w:pStyle w:val="66"/>
                  </w:pPr>
                  <w:r>
                    <w:rPr>
                      <w:rFonts w:hint="eastAsia"/>
                    </w:rPr>
                    <w:t>5mL/反应</w:t>
                  </w:r>
                </w:p>
              </w:tc>
              <w:tc>
                <w:tcPr>
                  <w:tcW w:w="1532" w:type="dxa"/>
                  <w:vAlign w:val="center"/>
                </w:tcPr>
                <w:p>
                  <w:pPr>
                    <w:pStyle w:val="56"/>
                    <w:rPr>
                      <w:lang w:eastAsia="zh-CN"/>
                    </w:rPr>
                  </w:pPr>
                  <w:r>
                    <w:rPr>
                      <w:rFonts w:hint="eastAsia"/>
                      <w:lang w:eastAsia="zh-CN"/>
                    </w:rPr>
                    <w:t>0</w:t>
                  </w:r>
                  <w:r>
                    <w:rPr>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56"/>
                    <w:rPr>
                      <w:lang w:eastAsia="zh-CN"/>
                    </w:rPr>
                  </w:pPr>
                  <w:r>
                    <w:rPr>
                      <w:rFonts w:hint="eastAsia"/>
                      <w:lang w:eastAsia="zh-CN"/>
                    </w:rPr>
                    <w:t>5</w:t>
                  </w:r>
                </w:p>
              </w:tc>
              <w:tc>
                <w:tcPr>
                  <w:tcW w:w="1510" w:type="dxa"/>
                  <w:vAlign w:val="center"/>
                </w:tcPr>
                <w:p>
                  <w:pPr>
                    <w:pStyle w:val="56"/>
                  </w:pPr>
                  <w:r>
                    <w:rPr>
                      <w:rFonts w:hint="eastAsia"/>
                      <w:lang w:eastAsia="zh-CN"/>
                    </w:rPr>
                    <w:t>生化试剂盒</w:t>
                  </w:r>
                </w:p>
              </w:tc>
              <w:tc>
                <w:tcPr>
                  <w:tcW w:w="846" w:type="dxa"/>
                  <w:vAlign w:val="center"/>
                </w:tcPr>
                <w:p>
                  <w:pPr>
                    <w:pStyle w:val="56"/>
                    <w:rPr>
                      <w:lang w:eastAsia="zh-CN"/>
                    </w:rPr>
                  </w:pPr>
                  <w:r>
                    <w:rPr>
                      <w:rFonts w:hint="eastAsia"/>
                      <w:lang w:eastAsia="zh-CN"/>
                    </w:rPr>
                    <w:t>2</w:t>
                  </w:r>
                  <w:r>
                    <w:rPr>
                      <w:lang w:eastAsia="zh-CN"/>
                    </w:rPr>
                    <w:t>00</w:t>
                  </w:r>
                </w:p>
              </w:tc>
              <w:tc>
                <w:tcPr>
                  <w:tcW w:w="1364" w:type="dxa"/>
                  <w:vAlign w:val="center"/>
                </w:tcPr>
                <w:p>
                  <w:pPr>
                    <w:pStyle w:val="66"/>
                  </w:pPr>
                  <w:r>
                    <w:rPr>
                      <w:rFonts w:hint="eastAsia"/>
                      <w:lang w:eastAsia="zh-CN"/>
                    </w:rPr>
                    <w:t>1</w:t>
                  </w:r>
                  <w:r>
                    <w:rPr>
                      <w:lang w:eastAsia="zh-CN"/>
                    </w:rPr>
                    <w:t>00</w:t>
                  </w:r>
                  <w:r>
                    <w:rPr>
                      <w:rFonts w:hint="eastAsia"/>
                      <w:lang w:eastAsia="zh-CN"/>
                    </w:rPr>
                    <w:t>测试/盒</w:t>
                  </w:r>
                </w:p>
              </w:tc>
              <w:tc>
                <w:tcPr>
                  <w:tcW w:w="1319" w:type="dxa"/>
                  <w:vAlign w:val="center"/>
                </w:tcPr>
                <w:p>
                  <w:pPr>
                    <w:pStyle w:val="66"/>
                  </w:pPr>
                  <w:r>
                    <w:rPr>
                      <w:rFonts w:hint="eastAsia"/>
                    </w:rPr>
                    <w:t>5mL/反应</w:t>
                  </w:r>
                </w:p>
              </w:tc>
              <w:tc>
                <w:tcPr>
                  <w:tcW w:w="1532" w:type="dxa"/>
                  <w:vAlign w:val="center"/>
                </w:tcPr>
                <w:p>
                  <w:pPr>
                    <w:pStyle w:val="56"/>
                    <w:rPr>
                      <w:lang w:eastAsia="zh-CN"/>
                    </w:rPr>
                  </w:pPr>
                  <w:r>
                    <w:rPr>
                      <w:rFonts w:hint="eastAsia"/>
                      <w:lang w:eastAsia="zh-CN"/>
                    </w:rPr>
                    <w:t>0</w:t>
                  </w:r>
                  <w:r>
                    <w:rPr>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56"/>
                    <w:rPr>
                      <w:lang w:eastAsia="zh-CN"/>
                    </w:rPr>
                  </w:pPr>
                  <w:r>
                    <w:rPr>
                      <w:rFonts w:hint="eastAsia"/>
                      <w:lang w:eastAsia="zh-CN"/>
                    </w:rPr>
                    <w:t>6</w:t>
                  </w:r>
                </w:p>
              </w:tc>
              <w:tc>
                <w:tcPr>
                  <w:tcW w:w="1510" w:type="dxa"/>
                  <w:vAlign w:val="center"/>
                </w:tcPr>
                <w:p>
                  <w:pPr>
                    <w:pStyle w:val="56"/>
                    <w:rPr>
                      <w:lang w:eastAsia="zh-CN"/>
                    </w:rPr>
                  </w:pPr>
                  <w:r>
                    <w:rPr>
                      <w:rFonts w:hint="eastAsia"/>
                      <w:lang w:eastAsia="zh-CN"/>
                    </w:rPr>
                    <w:t>检验试剂盒</w:t>
                  </w:r>
                </w:p>
              </w:tc>
              <w:tc>
                <w:tcPr>
                  <w:tcW w:w="846" w:type="dxa"/>
                  <w:vAlign w:val="center"/>
                </w:tcPr>
                <w:p>
                  <w:pPr>
                    <w:pStyle w:val="56"/>
                    <w:rPr>
                      <w:lang w:eastAsia="zh-CN"/>
                    </w:rPr>
                  </w:pPr>
                  <w:r>
                    <w:rPr>
                      <w:rFonts w:hint="eastAsia"/>
                      <w:lang w:eastAsia="zh-CN"/>
                    </w:rPr>
                    <w:t>2</w:t>
                  </w:r>
                  <w:r>
                    <w:rPr>
                      <w:lang w:eastAsia="zh-CN"/>
                    </w:rPr>
                    <w:t>00</w:t>
                  </w:r>
                </w:p>
              </w:tc>
              <w:tc>
                <w:tcPr>
                  <w:tcW w:w="1364" w:type="dxa"/>
                  <w:vAlign w:val="center"/>
                </w:tcPr>
                <w:p>
                  <w:pPr>
                    <w:pStyle w:val="66"/>
                  </w:pPr>
                  <w:r>
                    <w:rPr>
                      <w:rFonts w:hint="eastAsia"/>
                      <w:lang w:eastAsia="zh-CN"/>
                    </w:rPr>
                    <w:t>1</w:t>
                  </w:r>
                  <w:r>
                    <w:rPr>
                      <w:lang w:eastAsia="zh-CN"/>
                    </w:rPr>
                    <w:t>00</w:t>
                  </w:r>
                  <w:r>
                    <w:rPr>
                      <w:rFonts w:hint="eastAsia"/>
                      <w:lang w:eastAsia="zh-CN"/>
                    </w:rPr>
                    <w:t>测试/盒</w:t>
                  </w:r>
                </w:p>
              </w:tc>
              <w:tc>
                <w:tcPr>
                  <w:tcW w:w="1319" w:type="dxa"/>
                  <w:vAlign w:val="center"/>
                </w:tcPr>
                <w:p>
                  <w:pPr>
                    <w:pStyle w:val="66"/>
                  </w:pPr>
                  <w:r>
                    <w:rPr>
                      <w:rFonts w:hint="eastAsia"/>
                    </w:rPr>
                    <w:t>5mL/反应</w:t>
                  </w:r>
                </w:p>
              </w:tc>
              <w:tc>
                <w:tcPr>
                  <w:tcW w:w="1532" w:type="dxa"/>
                  <w:vAlign w:val="center"/>
                </w:tcPr>
                <w:p>
                  <w:pPr>
                    <w:pStyle w:val="56"/>
                    <w:rPr>
                      <w:lang w:eastAsia="zh-CN"/>
                    </w:rPr>
                  </w:pPr>
                  <w:r>
                    <w:rPr>
                      <w:rFonts w:hint="eastAsia"/>
                      <w:lang w:eastAsia="zh-CN"/>
                    </w:rPr>
                    <w:t>0</w:t>
                  </w:r>
                  <w:r>
                    <w:rPr>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56"/>
                    <w:rPr>
                      <w:lang w:eastAsia="zh-CN"/>
                    </w:rPr>
                  </w:pPr>
                  <w:r>
                    <w:rPr>
                      <w:rFonts w:hint="eastAsia"/>
                      <w:lang w:eastAsia="zh-CN"/>
                    </w:rPr>
                    <w:t>7</w:t>
                  </w:r>
                </w:p>
              </w:tc>
              <w:tc>
                <w:tcPr>
                  <w:tcW w:w="1510" w:type="dxa"/>
                  <w:vAlign w:val="center"/>
                </w:tcPr>
                <w:p>
                  <w:pPr>
                    <w:pStyle w:val="56"/>
                  </w:pPr>
                  <w:r>
                    <w:rPr>
                      <w:rFonts w:hint="eastAsia"/>
                      <w:lang w:eastAsia="zh-CN"/>
                    </w:rPr>
                    <w:t>微生物试剂盒</w:t>
                  </w:r>
                </w:p>
              </w:tc>
              <w:tc>
                <w:tcPr>
                  <w:tcW w:w="846" w:type="dxa"/>
                  <w:vAlign w:val="center"/>
                </w:tcPr>
                <w:p>
                  <w:pPr>
                    <w:pStyle w:val="56"/>
                    <w:rPr>
                      <w:lang w:eastAsia="zh-CN"/>
                    </w:rPr>
                  </w:pPr>
                  <w:r>
                    <w:rPr>
                      <w:rFonts w:hint="eastAsia"/>
                      <w:lang w:eastAsia="zh-CN"/>
                    </w:rPr>
                    <w:t>2</w:t>
                  </w:r>
                  <w:r>
                    <w:rPr>
                      <w:lang w:eastAsia="zh-CN"/>
                    </w:rPr>
                    <w:t>00</w:t>
                  </w:r>
                </w:p>
              </w:tc>
              <w:tc>
                <w:tcPr>
                  <w:tcW w:w="1364" w:type="dxa"/>
                  <w:vAlign w:val="center"/>
                </w:tcPr>
                <w:p>
                  <w:pPr>
                    <w:pStyle w:val="66"/>
                  </w:pPr>
                  <w:r>
                    <w:rPr>
                      <w:rFonts w:hint="eastAsia"/>
                      <w:lang w:eastAsia="zh-CN"/>
                    </w:rPr>
                    <w:t>1</w:t>
                  </w:r>
                  <w:r>
                    <w:rPr>
                      <w:lang w:eastAsia="zh-CN"/>
                    </w:rPr>
                    <w:t>00</w:t>
                  </w:r>
                  <w:r>
                    <w:rPr>
                      <w:rFonts w:hint="eastAsia"/>
                      <w:lang w:eastAsia="zh-CN"/>
                    </w:rPr>
                    <w:t>测试/盒</w:t>
                  </w:r>
                </w:p>
              </w:tc>
              <w:tc>
                <w:tcPr>
                  <w:tcW w:w="1319" w:type="dxa"/>
                  <w:vAlign w:val="center"/>
                </w:tcPr>
                <w:p>
                  <w:pPr>
                    <w:pStyle w:val="66"/>
                  </w:pPr>
                  <w:r>
                    <w:rPr>
                      <w:rFonts w:hint="eastAsia"/>
                    </w:rPr>
                    <w:t>5mL/反应</w:t>
                  </w:r>
                </w:p>
              </w:tc>
              <w:tc>
                <w:tcPr>
                  <w:tcW w:w="1532" w:type="dxa"/>
                  <w:vAlign w:val="center"/>
                </w:tcPr>
                <w:p>
                  <w:pPr>
                    <w:pStyle w:val="56"/>
                    <w:rPr>
                      <w:lang w:eastAsia="zh-CN"/>
                    </w:rPr>
                  </w:pPr>
                  <w:r>
                    <w:rPr>
                      <w:rFonts w:hint="eastAsia"/>
                      <w:lang w:eastAsia="zh-CN"/>
                    </w:rPr>
                    <w:t>0</w:t>
                  </w:r>
                  <w:r>
                    <w:rPr>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80" w:type="dxa"/>
                  <w:gridSpan w:val="5"/>
                  <w:vAlign w:val="center"/>
                </w:tcPr>
                <w:p>
                  <w:pPr>
                    <w:pStyle w:val="56"/>
                  </w:pPr>
                  <w:r>
                    <w:rPr>
                      <w:rFonts w:hint="eastAsia"/>
                      <w:lang w:eastAsia="zh-CN"/>
                    </w:rPr>
                    <w:t>合计</w:t>
                  </w:r>
                </w:p>
              </w:tc>
              <w:tc>
                <w:tcPr>
                  <w:tcW w:w="1532" w:type="dxa"/>
                  <w:vAlign w:val="center"/>
                </w:tcPr>
                <w:p>
                  <w:pPr>
                    <w:pStyle w:val="56"/>
                    <w:rPr>
                      <w:lang w:eastAsia="zh-CN"/>
                    </w:rPr>
                  </w:pPr>
                  <w:r>
                    <w:rPr>
                      <w:rFonts w:hint="eastAsia"/>
                      <w:lang w:eastAsia="zh-CN"/>
                    </w:rPr>
                    <w:t>1</w:t>
                  </w:r>
                  <w:r>
                    <w:rPr>
                      <w:lang w:eastAsia="zh-CN"/>
                    </w:rPr>
                    <w:t>3.6</w:t>
                  </w:r>
                </w:p>
              </w:tc>
            </w:tr>
          </w:tbl>
          <w:p>
            <w:pPr>
              <w:pStyle w:val="56"/>
            </w:pPr>
          </w:p>
          <w:p>
            <w:pPr>
              <w:ind w:firstLine="480"/>
              <w:rPr>
                <w:lang w:val="zh-CN"/>
              </w:rPr>
            </w:pPr>
            <w:r>
              <w:rPr>
                <w:rFonts w:hint="eastAsia"/>
                <w:lang w:val="zh-CN"/>
              </w:rPr>
              <w:t>②生化及免疫实验加样针清洗废液</w:t>
            </w:r>
          </w:p>
          <w:p>
            <w:pPr>
              <w:ind w:firstLine="480"/>
              <w:rPr>
                <w:lang w:val="zh-CN"/>
              </w:rPr>
            </w:pPr>
            <w:r>
              <w:rPr>
                <w:rFonts w:hint="eastAsia"/>
                <w:lang w:val="zh-CN"/>
              </w:rPr>
              <w:t>项目在生化及免疫实验检测前后均需要用纯水清洗加样针，根据下表，项目生化及免疫实验每年纯水用水量为1.</w:t>
            </w:r>
            <w:r>
              <w:rPr>
                <w:lang w:val="zh-CN"/>
              </w:rPr>
              <w:t>9</w:t>
            </w:r>
            <w:r>
              <w:rPr>
                <w:rFonts w:hint="eastAsia"/>
                <w:lang w:val="zh-CN"/>
              </w:rPr>
              <w:t>t/a，其他实验纯水用量为0</w:t>
            </w:r>
            <w:r>
              <w:rPr>
                <w:lang w:val="zh-CN"/>
              </w:rPr>
              <w:t>.1</w:t>
            </w:r>
            <w:r>
              <w:rPr>
                <w:rFonts w:hint="eastAsia"/>
                <w:lang w:val="zh-CN"/>
              </w:rPr>
              <w:t>t。根据《国家危险废物名录》（2021年版），项目生化及免疫实验过程加样针清洗携带检测样本，故属于HW01医疗废物，废物代码为841-001-01，应集中收集，存在传染风险的需先进行灭菌后定期交有相关危险废物处理资质单位处理。详细计算结果如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20</w:t>
            </w:r>
            <w:r>
              <w:fldChar w:fldCharType="end"/>
            </w:r>
            <w:r>
              <w:rPr>
                <w:rFonts w:hint="eastAsia"/>
              </w:rPr>
              <w:t>生化及免疫实验纯水用量</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184"/>
              <w:gridCol w:w="981"/>
              <w:gridCol w:w="1073"/>
              <w:gridCol w:w="924"/>
              <w:gridCol w:w="1236"/>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Align w:val="center"/>
                </w:tcPr>
                <w:p>
                  <w:pPr>
                    <w:pStyle w:val="66"/>
                  </w:pPr>
                  <w:r>
                    <w:rPr>
                      <w:rFonts w:hint="eastAsia"/>
                    </w:rPr>
                    <w:t>实验名称</w:t>
                  </w:r>
                </w:p>
              </w:tc>
              <w:tc>
                <w:tcPr>
                  <w:tcW w:w="799" w:type="pct"/>
                  <w:vAlign w:val="center"/>
                </w:tcPr>
                <w:p>
                  <w:pPr>
                    <w:pStyle w:val="66"/>
                  </w:pPr>
                  <w:r>
                    <w:rPr>
                      <w:rFonts w:hint="eastAsia"/>
                    </w:rPr>
                    <w:t>年检测量（份）</w:t>
                  </w:r>
                </w:p>
              </w:tc>
              <w:tc>
                <w:tcPr>
                  <w:tcW w:w="662" w:type="pct"/>
                  <w:vAlign w:val="center"/>
                </w:tcPr>
                <w:p>
                  <w:pPr>
                    <w:pStyle w:val="66"/>
                  </w:pPr>
                  <w:r>
                    <w:rPr>
                      <w:rFonts w:hint="eastAsia"/>
                    </w:rPr>
                    <w:t>每年清洗次数</w:t>
                  </w:r>
                </w:p>
              </w:tc>
              <w:tc>
                <w:tcPr>
                  <w:tcW w:w="724" w:type="pct"/>
                  <w:vAlign w:val="center"/>
                </w:tcPr>
                <w:p>
                  <w:pPr>
                    <w:pStyle w:val="66"/>
                  </w:pPr>
                  <w:r>
                    <w:rPr>
                      <w:rFonts w:hint="eastAsia"/>
                    </w:rPr>
                    <w:t>每次清洗用水量（mL）</w:t>
                  </w:r>
                </w:p>
              </w:tc>
              <w:tc>
                <w:tcPr>
                  <w:tcW w:w="623" w:type="pct"/>
                  <w:vAlign w:val="center"/>
                </w:tcPr>
                <w:p>
                  <w:pPr>
                    <w:pStyle w:val="66"/>
                  </w:pPr>
                  <w:r>
                    <w:rPr>
                      <w:rFonts w:hint="eastAsia"/>
                    </w:rPr>
                    <w:t>每天清洗次数</w:t>
                  </w:r>
                </w:p>
              </w:tc>
              <w:tc>
                <w:tcPr>
                  <w:tcW w:w="834" w:type="pct"/>
                  <w:vAlign w:val="center"/>
                </w:tcPr>
                <w:p>
                  <w:pPr>
                    <w:pStyle w:val="66"/>
                  </w:pPr>
                  <w:r>
                    <w:rPr>
                      <w:rFonts w:hint="eastAsia"/>
                    </w:rPr>
                    <w:t>用水量（t/d）</w:t>
                  </w:r>
                </w:p>
              </w:tc>
              <w:tc>
                <w:tcPr>
                  <w:tcW w:w="765" w:type="pct"/>
                  <w:vAlign w:val="center"/>
                </w:tcPr>
                <w:p>
                  <w:pPr>
                    <w:pStyle w:val="66"/>
                  </w:pPr>
                  <w:r>
                    <w:rPr>
                      <w:rFonts w:hint="eastAsia"/>
                    </w:rPr>
                    <w:t>用水量（t/a）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Align w:val="center"/>
                </w:tcPr>
                <w:p>
                  <w:pPr>
                    <w:pStyle w:val="66"/>
                  </w:pPr>
                  <w:r>
                    <w:rPr>
                      <w:rFonts w:hint="eastAsia"/>
                    </w:rPr>
                    <w:t>生化</w:t>
                  </w:r>
                </w:p>
              </w:tc>
              <w:tc>
                <w:tcPr>
                  <w:tcW w:w="799" w:type="pct"/>
                  <w:vAlign w:val="center"/>
                </w:tcPr>
                <w:p>
                  <w:pPr>
                    <w:pStyle w:val="66"/>
                  </w:pPr>
                  <w:r>
                    <w:t>55</w:t>
                  </w:r>
                  <w:r>
                    <w:rPr>
                      <w:rFonts w:hint="eastAsia"/>
                    </w:rPr>
                    <w:t>000</w:t>
                  </w:r>
                </w:p>
              </w:tc>
              <w:tc>
                <w:tcPr>
                  <w:tcW w:w="662" w:type="pct"/>
                  <w:vAlign w:val="center"/>
                </w:tcPr>
                <w:p>
                  <w:pPr>
                    <w:widowControl/>
                    <w:spacing w:line="240" w:lineRule="auto"/>
                    <w:ind w:firstLine="0" w:firstLineChars="0"/>
                    <w:jc w:val="center"/>
                    <w:textAlignment w:val="center"/>
                  </w:pPr>
                  <w:r>
                    <w:rPr>
                      <w:kern w:val="0"/>
                      <w:sz w:val="21"/>
                      <w:szCs w:val="21"/>
                      <w:lang w:bidi="ar"/>
                    </w:rPr>
                    <w:t>110000</w:t>
                  </w:r>
                </w:p>
              </w:tc>
              <w:tc>
                <w:tcPr>
                  <w:tcW w:w="724" w:type="pct"/>
                  <w:vAlign w:val="center"/>
                </w:tcPr>
                <w:p>
                  <w:pPr>
                    <w:widowControl/>
                    <w:spacing w:line="240" w:lineRule="auto"/>
                    <w:ind w:firstLine="0" w:firstLineChars="0"/>
                    <w:jc w:val="center"/>
                    <w:textAlignment w:val="center"/>
                  </w:pPr>
                  <w:r>
                    <w:rPr>
                      <w:kern w:val="0"/>
                      <w:sz w:val="21"/>
                      <w:szCs w:val="21"/>
                      <w:lang w:bidi="ar"/>
                    </w:rPr>
                    <w:t>10</w:t>
                  </w:r>
                </w:p>
              </w:tc>
              <w:tc>
                <w:tcPr>
                  <w:tcW w:w="623" w:type="pct"/>
                  <w:vAlign w:val="center"/>
                </w:tcPr>
                <w:p>
                  <w:pPr>
                    <w:widowControl/>
                    <w:spacing w:line="240" w:lineRule="auto"/>
                    <w:ind w:firstLine="0" w:firstLineChars="0"/>
                    <w:jc w:val="center"/>
                    <w:textAlignment w:val="center"/>
                  </w:pPr>
                  <w:r>
                    <w:rPr>
                      <w:kern w:val="0"/>
                      <w:sz w:val="21"/>
                      <w:szCs w:val="21"/>
                      <w:lang w:bidi="ar"/>
                    </w:rPr>
                    <w:t>301</w:t>
                  </w:r>
                </w:p>
              </w:tc>
              <w:tc>
                <w:tcPr>
                  <w:tcW w:w="834" w:type="pct"/>
                  <w:vAlign w:val="center"/>
                </w:tcPr>
                <w:p>
                  <w:pPr>
                    <w:pStyle w:val="66"/>
                    <w:rPr>
                      <w:lang w:eastAsia="zh-CN"/>
                    </w:rPr>
                  </w:pPr>
                  <w:r>
                    <w:rPr>
                      <w:rFonts w:hint="eastAsia"/>
                      <w:lang w:eastAsia="zh-CN"/>
                    </w:rPr>
                    <w:t>0</w:t>
                  </w:r>
                  <w:r>
                    <w:rPr>
                      <w:lang w:eastAsia="zh-CN"/>
                    </w:rPr>
                    <w:t>.003</w:t>
                  </w:r>
                </w:p>
              </w:tc>
              <w:tc>
                <w:tcPr>
                  <w:tcW w:w="765" w:type="pct"/>
                  <w:vAlign w:val="center"/>
                </w:tcPr>
                <w:p>
                  <w:pPr>
                    <w:pStyle w:val="66"/>
                    <w:rPr>
                      <w:lang w:eastAsia="zh-CN"/>
                    </w:rPr>
                  </w:pPr>
                  <w:r>
                    <w:rPr>
                      <w:rFonts w:hint="eastAsia"/>
                      <w:lang w:eastAsia="zh-CN"/>
                    </w:rPr>
                    <w:t>1</w:t>
                  </w:r>
                  <w:r>
                    <w:rPr>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Align w:val="center"/>
                </w:tcPr>
                <w:p>
                  <w:pPr>
                    <w:pStyle w:val="66"/>
                  </w:pPr>
                  <w:r>
                    <w:rPr>
                      <w:rFonts w:hint="eastAsia"/>
                    </w:rPr>
                    <w:t>免疫</w:t>
                  </w:r>
                </w:p>
              </w:tc>
              <w:tc>
                <w:tcPr>
                  <w:tcW w:w="799" w:type="pct"/>
                  <w:vAlign w:val="center"/>
                </w:tcPr>
                <w:p>
                  <w:pPr>
                    <w:pStyle w:val="66"/>
                  </w:pPr>
                  <w:r>
                    <w:t>2</w:t>
                  </w:r>
                  <w:r>
                    <w:rPr>
                      <w:rFonts w:hint="eastAsia"/>
                    </w:rPr>
                    <w:t>0000</w:t>
                  </w:r>
                </w:p>
              </w:tc>
              <w:tc>
                <w:tcPr>
                  <w:tcW w:w="662" w:type="pct"/>
                  <w:vAlign w:val="center"/>
                </w:tcPr>
                <w:p>
                  <w:pPr>
                    <w:widowControl/>
                    <w:spacing w:line="240" w:lineRule="auto"/>
                    <w:ind w:firstLine="0" w:firstLineChars="0"/>
                    <w:jc w:val="center"/>
                    <w:textAlignment w:val="center"/>
                  </w:pPr>
                  <w:r>
                    <w:rPr>
                      <w:kern w:val="0"/>
                      <w:sz w:val="21"/>
                      <w:szCs w:val="21"/>
                      <w:lang w:bidi="ar"/>
                    </w:rPr>
                    <w:t>40000</w:t>
                  </w:r>
                </w:p>
              </w:tc>
              <w:tc>
                <w:tcPr>
                  <w:tcW w:w="724" w:type="pct"/>
                  <w:vAlign w:val="center"/>
                </w:tcPr>
                <w:p>
                  <w:pPr>
                    <w:widowControl/>
                    <w:spacing w:line="240" w:lineRule="auto"/>
                    <w:ind w:firstLine="0" w:firstLineChars="0"/>
                    <w:jc w:val="center"/>
                    <w:textAlignment w:val="center"/>
                  </w:pPr>
                  <w:r>
                    <w:rPr>
                      <w:kern w:val="0"/>
                      <w:sz w:val="21"/>
                      <w:szCs w:val="21"/>
                      <w:lang w:bidi="ar"/>
                    </w:rPr>
                    <w:t>20</w:t>
                  </w:r>
                </w:p>
              </w:tc>
              <w:tc>
                <w:tcPr>
                  <w:tcW w:w="623" w:type="pct"/>
                  <w:vAlign w:val="center"/>
                </w:tcPr>
                <w:p>
                  <w:pPr>
                    <w:widowControl/>
                    <w:spacing w:line="240" w:lineRule="auto"/>
                    <w:ind w:firstLine="0" w:firstLineChars="0"/>
                    <w:jc w:val="center"/>
                    <w:textAlignment w:val="center"/>
                  </w:pPr>
                  <w:r>
                    <w:rPr>
                      <w:kern w:val="0"/>
                      <w:sz w:val="21"/>
                      <w:szCs w:val="21"/>
                      <w:lang w:bidi="ar"/>
                    </w:rPr>
                    <w:t>111</w:t>
                  </w:r>
                </w:p>
              </w:tc>
              <w:tc>
                <w:tcPr>
                  <w:tcW w:w="834" w:type="pct"/>
                  <w:vAlign w:val="center"/>
                </w:tcPr>
                <w:p>
                  <w:pPr>
                    <w:pStyle w:val="66"/>
                    <w:rPr>
                      <w:lang w:eastAsia="zh-CN"/>
                    </w:rPr>
                  </w:pPr>
                  <w:r>
                    <w:rPr>
                      <w:rFonts w:hint="eastAsia"/>
                      <w:lang w:eastAsia="zh-CN"/>
                    </w:rPr>
                    <w:t>0</w:t>
                  </w:r>
                  <w:r>
                    <w:rPr>
                      <w:lang w:eastAsia="zh-CN"/>
                    </w:rPr>
                    <w:t>.0022</w:t>
                  </w:r>
                </w:p>
              </w:tc>
              <w:tc>
                <w:tcPr>
                  <w:tcW w:w="765" w:type="pct"/>
                  <w:vAlign w:val="center"/>
                </w:tcPr>
                <w:p>
                  <w:pPr>
                    <w:pStyle w:val="66"/>
                    <w:rPr>
                      <w:lang w:eastAsia="zh-CN"/>
                    </w:rPr>
                  </w:pPr>
                  <w:r>
                    <w:rPr>
                      <w:rFonts w:hint="eastAsia"/>
                      <w:lang w:eastAsia="zh-CN"/>
                    </w:rPr>
                    <w:t>0</w:t>
                  </w:r>
                  <w:r>
                    <w:rPr>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5" w:type="pct"/>
                  <w:gridSpan w:val="6"/>
                  <w:vAlign w:val="center"/>
                </w:tcPr>
                <w:p>
                  <w:pPr>
                    <w:pStyle w:val="66"/>
                    <w:rPr>
                      <w:lang w:eastAsia="zh-CN"/>
                    </w:rPr>
                  </w:pPr>
                  <w:r>
                    <w:rPr>
                      <w:rFonts w:hint="eastAsia"/>
                      <w:lang w:eastAsia="zh-CN"/>
                    </w:rPr>
                    <w:t>其他</w:t>
                  </w:r>
                </w:p>
              </w:tc>
              <w:tc>
                <w:tcPr>
                  <w:tcW w:w="765" w:type="pct"/>
                  <w:vAlign w:val="center"/>
                </w:tcPr>
                <w:p>
                  <w:pPr>
                    <w:pStyle w:val="66"/>
                    <w:rPr>
                      <w:lang w:eastAsia="zh-CN"/>
                    </w:rPr>
                  </w:pPr>
                  <w:r>
                    <w:rPr>
                      <w:rFonts w:hint="eastAsia"/>
                      <w:lang w:eastAsia="zh-CN"/>
                    </w:rPr>
                    <w:t>0</w:t>
                  </w:r>
                  <w:r>
                    <w:rPr>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vAlign w:val="center"/>
                </w:tcPr>
                <w:p>
                  <w:pPr>
                    <w:pStyle w:val="66"/>
                  </w:pPr>
                  <w:r>
                    <w:rPr>
                      <w:rFonts w:hint="eastAsia"/>
                    </w:rPr>
                    <w:t>合计</w:t>
                  </w:r>
                </w:p>
              </w:tc>
              <w:tc>
                <w:tcPr>
                  <w:tcW w:w="2808" w:type="pct"/>
                  <w:gridSpan w:val="4"/>
                  <w:vAlign w:val="center"/>
                </w:tcPr>
                <w:p>
                  <w:pPr>
                    <w:pStyle w:val="66"/>
                  </w:pPr>
                  <w:r>
                    <w:rPr>
                      <w:rFonts w:hint="eastAsia"/>
                    </w:rPr>
                    <w:t>/</w:t>
                  </w:r>
                </w:p>
              </w:tc>
              <w:tc>
                <w:tcPr>
                  <w:tcW w:w="834" w:type="pct"/>
                  <w:vAlign w:val="center"/>
                </w:tcPr>
                <w:p>
                  <w:pPr>
                    <w:pStyle w:val="66"/>
                    <w:rPr>
                      <w:lang w:eastAsia="zh-CN"/>
                    </w:rPr>
                  </w:pPr>
                  <w:r>
                    <w:rPr>
                      <w:rFonts w:hint="eastAsia"/>
                      <w:lang w:eastAsia="zh-CN"/>
                    </w:rPr>
                    <w:t>0</w:t>
                  </w:r>
                  <w:r>
                    <w:rPr>
                      <w:lang w:eastAsia="zh-CN"/>
                    </w:rPr>
                    <w:t>.0052</w:t>
                  </w:r>
                </w:p>
              </w:tc>
              <w:tc>
                <w:tcPr>
                  <w:tcW w:w="765" w:type="pct"/>
                  <w:vAlign w:val="center"/>
                </w:tcPr>
                <w:p>
                  <w:pPr>
                    <w:pStyle w:val="66"/>
                    <w:rPr>
                      <w:lang w:eastAsia="zh-CN"/>
                    </w:rPr>
                  </w:pPr>
                  <w:r>
                    <w:rPr>
                      <w:lang w:eastAsia="zh-CN"/>
                    </w:rPr>
                    <w:t>2</w:t>
                  </w:r>
                </w:p>
              </w:tc>
            </w:tr>
          </w:tbl>
          <w:p>
            <w:pPr>
              <w:pStyle w:val="56"/>
            </w:pPr>
          </w:p>
          <w:p>
            <w:pPr>
              <w:ind w:firstLine="480"/>
              <w:rPr>
                <w:lang w:val="zh-CN"/>
              </w:rPr>
            </w:pPr>
            <w:r>
              <w:rPr>
                <w:rFonts w:hint="eastAsia"/>
                <w:lang w:val="zh-CN"/>
              </w:rPr>
              <w:t>③废试剂盒</w:t>
            </w:r>
          </w:p>
          <w:p>
            <w:pPr>
              <w:ind w:firstLine="480"/>
              <w:rPr>
                <w:lang w:val="zh-CN"/>
              </w:rPr>
            </w:pPr>
            <w:r>
              <w:rPr>
                <w:rFonts w:hint="eastAsia"/>
                <w:lang w:val="zh-CN"/>
              </w:rPr>
              <w:t>本项目实验检测过程会产生废试剂盒，产生量约10.3t/a。根据《国家危险废物名录》（2021年版），废试剂盒属于HW49其他废物，废物代码为900-047-49，经灭菌后暂存于危险废物暂存间，定期交有相关危险废物处理资质单位处理。</w:t>
            </w:r>
          </w:p>
          <w:p>
            <w:pPr>
              <w:ind w:firstLine="480"/>
              <w:rPr>
                <w:lang w:val="zh-CN"/>
              </w:rPr>
            </w:pPr>
            <w:r>
              <w:rPr>
                <w:rFonts w:hint="eastAsia"/>
                <w:lang w:val="zh-CN"/>
              </w:rPr>
              <w:t>④废弃一次性实验用品</w:t>
            </w:r>
          </w:p>
          <w:p>
            <w:pPr>
              <w:ind w:firstLine="480"/>
              <w:rPr>
                <w:lang w:val="zh-CN"/>
              </w:rPr>
            </w:pPr>
            <w:r>
              <w:rPr>
                <w:rFonts w:hint="eastAsia"/>
                <w:lang w:val="zh-CN"/>
              </w:rPr>
              <w:t>项目在实验过程中会产生少量的废弃一次性实验用品，主要为实验过程产生的废一次性手套、废一次性口罩、废移液枪头、废一次性帽等，根据下表，年产生量约</w:t>
            </w:r>
            <w:r>
              <w:rPr>
                <w:lang w:val="zh-CN"/>
              </w:rPr>
              <w:t>1.46</w:t>
            </w:r>
            <w:r>
              <w:rPr>
                <w:rFonts w:hint="eastAsia"/>
                <w:lang w:val="zh-CN"/>
              </w:rPr>
              <w:t>t/a。根据《国家危险废物名录》（2021年版），废弃一次性实验用品属于HW01医疗废物（编号841-001-01），经灭菌后暂存于医疗废物暂存间，定期交有相关危险废物处理资质单位处理。</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909"/>
              <w:gridCol w:w="1759"/>
              <w:gridCol w:w="1483"/>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pStyle w:val="56"/>
                  </w:pPr>
                  <w:r>
                    <w:rPr>
                      <w:rFonts w:hint="eastAsia"/>
                    </w:rPr>
                    <w:t>序号</w:t>
                  </w:r>
                </w:p>
              </w:tc>
              <w:tc>
                <w:tcPr>
                  <w:tcW w:w="1288" w:type="pct"/>
                  <w:vAlign w:val="center"/>
                </w:tcPr>
                <w:p>
                  <w:pPr>
                    <w:pStyle w:val="56"/>
                  </w:pPr>
                  <w:r>
                    <w:rPr>
                      <w:rFonts w:hint="eastAsia"/>
                    </w:rPr>
                    <w:t>类别</w:t>
                  </w:r>
                </w:p>
              </w:tc>
              <w:tc>
                <w:tcPr>
                  <w:tcW w:w="1187" w:type="pct"/>
                  <w:vAlign w:val="center"/>
                </w:tcPr>
                <w:p>
                  <w:pPr>
                    <w:pStyle w:val="56"/>
                  </w:pPr>
                  <w:r>
                    <w:rPr>
                      <w:rFonts w:hint="eastAsia"/>
                    </w:rPr>
                    <w:t>年产生量</w:t>
                  </w:r>
                </w:p>
              </w:tc>
              <w:tc>
                <w:tcPr>
                  <w:tcW w:w="1001" w:type="pct"/>
                  <w:vAlign w:val="center"/>
                </w:tcPr>
                <w:p>
                  <w:pPr>
                    <w:pStyle w:val="56"/>
                  </w:pPr>
                  <w:r>
                    <w:rPr>
                      <w:rFonts w:hint="eastAsia"/>
                    </w:rPr>
                    <w:t>每个重量（g）</w:t>
                  </w:r>
                </w:p>
              </w:tc>
              <w:tc>
                <w:tcPr>
                  <w:tcW w:w="1000" w:type="pct"/>
                  <w:vAlign w:val="center"/>
                </w:tcPr>
                <w:p>
                  <w:pPr>
                    <w:pStyle w:val="56"/>
                  </w:pPr>
                  <w:r>
                    <w:rPr>
                      <w:rFonts w:hint="eastAsia"/>
                    </w:rPr>
                    <w:t>年产生量（t/a）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524" w:type="pct"/>
                  <w:vAlign w:val="center"/>
                </w:tcPr>
                <w:p>
                  <w:pPr>
                    <w:pStyle w:val="56"/>
                    <w:rPr>
                      <w:lang w:eastAsia="zh-CN"/>
                    </w:rPr>
                  </w:pPr>
                  <w:r>
                    <w:rPr>
                      <w:rFonts w:hint="eastAsia"/>
                      <w:lang w:eastAsia="zh-CN"/>
                    </w:rPr>
                    <w:t>1</w:t>
                  </w:r>
                </w:p>
              </w:tc>
              <w:tc>
                <w:tcPr>
                  <w:tcW w:w="1288" w:type="pct"/>
                  <w:vAlign w:val="center"/>
                </w:tcPr>
                <w:p>
                  <w:pPr>
                    <w:pStyle w:val="56"/>
                  </w:pPr>
                  <w:r>
                    <w:rPr>
                      <w:rFonts w:hint="eastAsia"/>
                    </w:rPr>
                    <w:t>废一次性手套</w:t>
                  </w:r>
                </w:p>
              </w:tc>
              <w:tc>
                <w:tcPr>
                  <w:tcW w:w="1187" w:type="pct"/>
                  <w:vAlign w:val="center"/>
                </w:tcPr>
                <w:p>
                  <w:pPr>
                    <w:pStyle w:val="56"/>
                  </w:pPr>
                  <w:r>
                    <w:rPr>
                      <w:rFonts w:hint="eastAsia"/>
                    </w:rPr>
                    <w:t>10万</w:t>
                  </w:r>
                </w:p>
              </w:tc>
              <w:tc>
                <w:tcPr>
                  <w:tcW w:w="1001" w:type="pct"/>
                  <w:vAlign w:val="center"/>
                </w:tcPr>
                <w:p>
                  <w:pPr>
                    <w:pStyle w:val="56"/>
                  </w:pPr>
                  <w:r>
                    <w:rPr>
                      <w:rFonts w:hint="eastAsia"/>
                    </w:rPr>
                    <w:t>0.5</w:t>
                  </w:r>
                </w:p>
              </w:tc>
              <w:tc>
                <w:tcPr>
                  <w:tcW w:w="1000" w:type="pct"/>
                  <w:vAlign w:val="center"/>
                </w:tcPr>
                <w:p>
                  <w:pPr>
                    <w:pStyle w:val="56"/>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pStyle w:val="56"/>
                    <w:rPr>
                      <w:lang w:eastAsia="zh-CN"/>
                    </w:rPr>
                  </w:pPr>
                  <w:r>
                    <w:rPr>
                      <w:rFonts w:hint="eastAsia"/>
                      <w:lang w:eastAsia="zh-CN"/>
                    </w:rPr>
                    <w:t>2</w:t>
                  </w:r>
                </w:p>
              </w:tc>
              <w:tc>
                <w:tcPr>
                  <w:tcW w:w="1288" w:type="pct"/>
                  <w:vAlign w:val="center"/>
                </w:tcPr>
                <w:p>
                  <w:pPr>
                    <w:pStyle w:val="56"/>
                  </w:pPr>
                  <w:r>
                    <w:rPr>
                      <w:rFonts w:hint="eastAsia"/>
                    </w:rPr>
                    <w:t>废一次性口罩</w:t>
                  </w:r>
                </w:p>
              </w:tc>
              <w:tc>
                <w:tcPr>
                  <w:tcW w:w="1187" w:type="pct"/>
                  <w:vAlign w:val="center"/>
                </w:tcPr>
                <w:p>
                  <w:pPr>
                    <w:pStyle w:val="56"/>
                  </w:pPr>
                  <w:r>
                    <w:t>10</w:t>
                  </w:r>
                  <w:r>
                    <w:rPr>
                      <w:rFonts w:hint="eastAsia"/>
                    </w:rPr>
                    <w:t>万</w:t>
                  </w:r>
                </w:p>
              </w:tc>
              <w:tc>
                <w:tcPr>
                  <w:tcW w:w="1001" w:type="pct"/>
                  <w:vAlign w:val="center"/>
                </w:tcPr>
                <w:p>
                  <w:pPr>
                    <w:pStyle w:val="56"/>
                  </w:pPr>
                  <w:r>
                    <w:rPr>
                      <w:rFonts w:hint="eastAsia"/>
                    </w:rPr>
                    <w:t>1</w:t>
                  </w:r>
                </w:p>
              </w:tc>
              <w:tc>
                <w:tcPr>
                  <w:tcW w:w="1000" w:type="pct"/>
                  <w:vAlign w:val="center"/>
                </w:tcPr>
                <w:p>
                  <w:pPr>
                    <w:pStyle w:val="56"/>
                  </w:pPr>
                  <w: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pStyle w:val="56"/>
                    <w:rPr>
                      <w:lang w:eastAsia="zh-CN"/>
                    </w:rPr>
                  </w:pPr>
                  <w:r>
                    <w:rPr>
                      <w:rFonts w:hint="eastAsia"/>
                      <w:lang w:eastAsia="zh-CN"/>
                    </w:rPr>
                    <w:t>3</w:t>
                  </w:r>
                </w:p>
              </w:tc>
              <w:tc>
                <w:tcPr>
                  <w:tcW w:w="1288" w:type="pct"/>
                  <w:vAlign w:val="center"/>
                </w:tcPr>
                <w:p>
                  <w:pPr>
                    <w:pStyle w:val="56"/>
                  </w:pPr>
                  <w:r>
                    <w:rPr>
                      <w:rFonts w:hint="eastAsia"/>
                    </w:rPr>
                    <w:t>废移液枪头</w:t>
                  </w:r>
                </w:p>
              </w:tc>
              <w:tc>
                <w:tcPr>
                  <w:tcW w:w="1187" w:type="pct"/>
                  <w:vAlign w:val="center"/>
                </w:tcPr>
                <w:p>
                  <w:pPr>
                    <w:pStyle w:val="56"/>
                    <w:rPr>
                      <w:lang w:eastAsia="zh-CN"/>
                    </w:rPr>
                  </w:pPr>
                  <w:r>
                    <w:rPr>
                      <w:rFonts w:hint="eastAsia"/>
                      <w:lang w:eastAsia="zh-CN"/>
                    </w:rPr>
                    <w:t>1</w:t>
                  </w:r>
                  <w:r>
                    <w:rPr>
                      <w:lang w:eastAsia="zh-CN"/>
                    </w:rPr>
                    <w:t>20</w:t>
                  </w:r>
                  <w:r>
                    <w:rPr>
                      <w:rFonts w:hint="eastAsia"/>
                      <w:lang w:eastAsia="zh-CN"/>
                    </w:rPr>
                    <w:t>万</w:t>
                  </w:r>
                </w:p>
              </w:tc>
              <w:tc>
                <w:tcPr>
                  <w:tcW w:w="1001" w:type="pct"/>
                  <w:vAlign w:val="center"/>
                </w:tcPr>
                <w:p>
                  <w:pPr>
                    <w:pStyle w:val="56"/>
                  </w:pPr>
                  <w:r>
                    <w:rPr>
                      <w:rFonts w:hint="eastAsia"/>
                    </w:rPr>
                    <w:t>1</w:t>
                  </w:r>
                </w:p>
              </w:tc>
              <w:tc>
                <w:tcPr>
                  <w:tcW w:w="1000" w:type="pct"/>
                  <w:vAlign w:val="center"/>
                </w:tcPr>
                <w:p>
                  <w:pPr>
                    <w:pStyle w:val="56"/>
                    <w:rPr>
                      <w:lang w:eastAsia="zh-CN"/>
                    </w:rPr>
                  </w:pPr>
                  <w:r>
                    <w:rPr>
                      <w:rFonts w:hint="eastAsia"/>
                      <w:lang w:eastAsia="zh-CN"/>
                    </w:rPr>
                    <w:t>1</w:t>
                  </w:r>
                  <w:r>
                    <w:rPr>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pStyle w:val="56"/>
                    <w:rPr>
                      <w:lang w:eastAsia="zh-CN"/>
                    </w:rPr>
                  </w:pPr>
                  <w:r>
                    <w:rPr>
                      <w:rFonts w:hint="eastAsia"/>
                      <w:lang w:eastAsia="zh-CN"/>
                    </w:rPr>
                    <w:t>4</w:t>
                  </w:r>
                </w:p>
              </w:tc>
              <w:tc>
                <w:tcPr>
                  <w:tcW w:w="1288" w:type="pct"/>
                  <w:vAlign w:val="center"/>
                </w:tcPr>
                <w:p>
                  <w:pPr>
                    <w:pStyle w:val="56"/>
                  </w:pPr>
                  <w:r>
                    <w:rPr>
                      <w:rFonts w:hint="eastAsia"/>
                    </w:rPr>
                    <w:t>废一次性帽</w:t>
                  </w:r>
                </w:p>
              </w:tc>
              <w:tc>
                <w:tcPr>
                  <w:tcW w:w="1187" w:type="pct"/>
                  <w:vAlign w:val="center"/>
                </w:tcPr>
                <w:p>
                  <w:pPr>
                    <w:pStyle w:val="56"/>
                  </w:pPr>
                  <w:r>
                    <w:t>5</w:t>
                  </w:r>
                  <w:r>
                    <w:rPr>
                      <w:rFonts w:hint="eastAsia"/>
                    </w:rPr>
                    <w:t>万</w:t>
                  </w:r>
                </w:p>
              </w:tc>
              <w:tc>
                <w:tcPr>
                  <w:tcW w:w="1001" w:type="pct"/>
                  <w:vAlign w:val="center"/>
                </w:tcPr>
                <w:p>
                  <w:pPr>
                    <w:pStyle w:val="56"/>
                  </w:pPr>
                  <w:r>
                    <w:rPr>
                      <w:rFonts w:hint="eastAsia"/>
                    </w:rPr>
                    <w:t>1</w:t>
                  </w:r>
                </w:p>
              </w:tc>
              <w:tc>
                <w:tcPr>
                  <w:tcW w:w="1000" w:type="pct"/>
                  <w:vAlign w:val="center"/>
                </w:tcPr>
                <w:p>
                  <w:pPr>
                    <w:pStyle w:val="56"/>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24" w:type="pct"/>
                  <w:vAlign w:val="center"/>
                </w:tcPr>
                <w:p>
                  <w:pPr>
                    <w:pStyle w:val="56"/>
                    <w:rPr>
                      <w:lang w:eastAsia="zh-CN"/>
                    </w:rPr>
                  </w:pPr>
                  <w:r>
                    <w:rPr>
                      <w:lang w:eastAsia="zh-CN"/>
                    </w:rPr>
                    <w:t>5</w:t>
                  </w:r>
                </w:p>
              </w:tc>
              <w:tc>
                <w:tcPr>
                  <w:tcW w:w="1288" w:type="pct"/>
                  <w:vAlign w:val="center"/>
                </w:tcPr>
                <w:p>
                  <w:pPr>
                    <w:pStyle w:val="56"/>
                  </w:pPr>
                  <w:r>
                    <w:rPr>
                      <w:rFonts w:hint="eastAsia"/>
                      <w:lang w:eastAsia="zh-CN"/>
                    </w:rPr>
                    <w:t>废鞋套</w:t>
                  </w:r>
                </w:p>
              </w:tc>
              <w:tc>
                <w:tcPr>
                  <w:tcW w:w="1187" w:type="pct"/>
                  <w:vAlign w:val="center"/>
                </w:tcPr>
                <w:p>
                  <w:pPr>
                    <w:pStyle w:val="56"/>
                    <w:rPr>
                      <w:lang w:eastAsia="zh-CN"/>
                    </w:rPr>
                  </w:pPr>
                  <w:r>
                    <w:rPr>
                      <w:rFonts w:hint="eastAsia"/>
                      <w:lang w:eastAsia="zh-CN"/>
                    </w:rPr>
                    <w:t>3万</w:t>
                  </w:r>
                </w:p>
              </w:tc>
              <w:tc>
                <w:tcPr>
                  <w:tcW w:w="1001" w:type="pct"/>
                  <w:vAlign w:val="center"/>
                </w:tcPr>
                <w:p>
                  <w:pPr>
                    <w:pStyle w:val="56"/>
                    <w:rPr>
                      <w:lang w:eastAsia="zh-CN"/>
                    </w:rPr>
                  </w:pPr>
                  <w:r>
                    <w:rPr>
                      <w:rFonts w:hint="eastAsia"/>
                      <w:lang w:eastAsia="zh-CN"/>
                    </w:rPr>
                    <w:t>2</w:t>
                  </w:r>
                </w:p>
              </w:tc>
              <w:tc>
                <w:tcPr>
                  <w:tcW w:w="1000" w:type="pct"/>
                  <w:vAlign w:val="center"/>
                </w:tcPr>
                <w:p>
                  <w:pPr>
                    <w:pStyle w:val="56"/>
                    <w:rPr>
                      <w:lang w:eastAsia="zh-CN"/>
                    </w:rPr>
                  </w:pPr>
                  <w:r>
                    <w:rPr>
                      <w:rFonts w:hint="eastAsia"/>
                      <w:lang w:eastAsia="zh-CN"/>
                    </w:rPr>
                    <w:t>0</w:t>
                  </w:r>
                  <w:r>
                    <w:rPr>
                      <w:lang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0" w:type="pct"/>
                  <w:gridSpan w:val="4"/>
                  <w:vAlign w:val="center"/>
                </w:tcPr>
                <w:p>
                  <w:pPr>
                    <w:pStyle w:val="56"/>
                  </w:pPr>
                  <w:r>
                    <w:rPr>
                      <w:rFonts w:hint="eastAsia"/>
                    </w:rPr>
                    <w:t>合计</w:t>
                  </w:r>
                </w:p>
              </w:tc>
              <w:tc>
                <w:tcPr>
                  <w:tcW w:w="1000" w:type="pct"/>
                  <w:vAlign w:val="center"/>
                </w:tcPr>
                <w:p>
                  <w:pPr>
                    <w:pStyle w:val="56"/>
                    <w:rPr>
                      <w:lang w:eastAsia="zh-CN"/>
                    </w:rPr>
                  </w:pPr>
                  <w:r>
                    <w:rPr>
                      <w:rFonts w:hint="eastAsia"/>
                      <w:lang w:eastAsia="zh-CN"/>
                    </w:rPr>
                    <w:t>1</w:t>
                  </w:r>
                  <w:r>
                    <w:rPr>
                      <w:lang w:eastAsia="zh-CN"/>
                    </w:rPr>
                    <w:t>.46</w:t>
                  </w:r>
                </w:p>
              </w:tc>
            </w:tr>
          </w:tbl>
          <w:p>
            <w:pPr>
              <w:pStyle w:val="56"/>
            </w:pPr>
          </w:p>
          <w:p>
            <w:pPr>
              <w:ind w:firstLine="480"/>
              <w:rPr>
                <w:lang w:val="zh-CN"/>
              </w:rPr>
            </w:pPr>
            <w:r>
              <w:rPr>
                <w:rFonts w:hint="eastAsia"/>
                <w:lang w:val="zh-CN"/>
              </w:rPr>
              <w:t>⑤废弃防护服</w:t>
            </w:r>
          </w:p>
          <w:p>
            <w:pPr>
              <w:ind w:firstLine="480"/>
              <w:rPr>
                <w:lang w:val="zh-CN"/>
              </w:rPr>
            </w:pPr>
            <w:r>
              <w:rPr>
                <w:rFonts w:hint="eastAsia"/>
                <w:lang w:val="zh-CN"/>
              </w:rPr>
              <w:t>项目检测过程中会产生废弃防护服，穿防护服的人数为</w:t>
            </w:r>
            <w:r>
              <w:rPr>
                <w:lang w:val="zh-CN"/>
              </w:rPr>
              <w:t>15</w:t>
            </w:r>
            <w:r>
              <w:rPr>
                <w:rFonts w:hint="eastAsia"/>
                <w:lang w:val="zh-CN"/>
              </w:rPr>
              <w:t>人，每天产生废弃防护服约</w:t>
            </w:r>
            <w:r>
              <w:rPr>
                <w:lang w:val="zh-CN"/>
              </w:rPr>
              <w:t>15</w:t>
            </w:r>
            <w:r>
              <w:rPr>
                <w:rFonts w:hint="eastAsia"/>
                <w:lang w:val="zh-CN"/>
              </w:rPr>
              <w:t>套，每年产生</w:t>
            </w:r>
            <w:r>
              <w:rPr>
                <w:lang w:val="zh-CN"/>
              </w:rPr>
              <w:t>5475</w:t>
            </w:r>
            <w:r>
              <w:rPr>
                <w:rFonts w:hint="eastAsia"/>
                <w:lang w:val="zh-CN"/>
              </w:rPr>
              <w:t>套，每套约0.3kg，年产生量约</w:t>
            </w:r>
            <w:r>
              <w:rPr>
                <w:lang w:val="zh-CN"/>
              </w:rPr>
              <w:t>1.6425</w:t>
            </w:r>
            <w:r>
              <w:rPr>
                <w:rFonts w:hint="eastAsia"/>
                <w:lang w:val="zh-CN"/>
              </w:rPr>
              <w:t>t/a，根据《国家危险废物名录》（2021年版），废弃防护服属于HW01医疗废物（编号841-001-01），应集中收集，先进行灭菌后，暂存于危废暂存间，定期交有相关危险废物处理资质单位处理。</w:t>
            </w:r>
          </w:p>
          <w:p>
            <w:pPr>
              <w:ind w:firstLine="480"/>
              <w:rPr>
                <w:lang w:val="zh-CN"/>
              </w:rPr>
            </w:pPr>
            <w:r>
              <w:rPr>
                <w:rFonts w:hint="eastAsia"/>
                <w:lang w:val="zh-CN"/>
              </w:rPr>
              <w:t>⑥废过滤器</w:t>
            </w:r>
          </w:p>
          <w:p>
            <w:pPr>
              <w:ind w:firstLine="480"/>
              <w:rPr>
                <w:lang w:val="zh-CN"/>
              </w:rPr>
            </w:pPr>
            <w:r>
              <w:rPr>
                <w:rFonts w:hint="eastAsia"/>
                <w:lang w:val="zh-CN"/>
              </w:rPr>
              <w:t>项目实验室生物安全柜均设置进排风过滤系统，过滤空气中病毒、细菌、杂质等，长时间使用后会导致过滤效率下降，需定期更换过滤器，需厂家2个月更换一次，项目共设置</w:t>
            </w:r>
            <w:r>
              <w:rPr>
                <w:lang w:val="zh-CN"/>
              </w:rPr>
              <w:t>49</w:t>
            </w:r>
            <w:r>
              <w:rPr>
                <w:rFonts w:hint="eastAsia"/>
                <w:lang w:val="zh-CN"/>
              </w:rPr>
              <w:t>个高效过滤器，每个过滤器约0.001t，则废过滤器产生量约为0.</w:t>
            </w:r>
            <w:r>
              <w:rPr>
                <w:lang w:val="zh-CN"/>
              </w:rPr>
              <w:t>294</w:t>
            </w:r>
            <w:r>
              <w:rPr>
                <w:rFonts w:hint="eastAsia"/>
                <w:lang w:val="zh-CN"/>
              </w:rPr>
              <w:t>t/a。根据《国家危险废物名录》（2021年版），废过滤器属于HW49其他废物（编号900-041-49），经灭菌后暂存于危险废物暂存间，定期交有相关危险废物处理资质单位处理。</w:t>
            </w:r>
          </w:p>
          <w:p>
            <w:pPr>
              <w:ind w:firstLine="480"/>
              <w:rPr>
                <w:lang w:val="zh-CN"/>
              </w:rPr>
            </w:pPr>
            <w:r>
              <w:rPr>
                <w:rFonts w:hint="eastAsia"/>
                <w:lang w:val="zh-CN"/>
              </w:rPr>
              <w:t>⑦废试剂瓶</w:t>
            </w:r>
          </w:p>
          <w:p>
            <w:pPr>
              <w:ind w:firstLine="480"/>
              <w:rPr>
                <w:lang w:val="zh-CN"/>
              </w:rPr>
            </w:pPr>
            <w:r>
              <w:rPr>
                <w:rFonts w:hint="eastAsia"/>
                <w:lang w:val="zh-CN"/>
              </w:rPr>
              <w:t>项目乙醇等试剂使用后会产生废试剂瓶，产生量约为0.</w:t>
            </w:r>
            <w:r>
              <w:rPr>
                <w:lang w:val="zh-CN"/>
              </w:rPr>
              <w:t>5</w:t>
            </w:r>
            <w:r>
              <w:rPr>
                <w:rFonts w:hint="eastAsia"/>
                <w:lang w:val="zh-CN"/>
              </w:rPr>
              <w:t>t/a，根据《国家危险废物名录》（2021年版），废试剂瓶属于HW49其他废物（编号900-047-49），收集后暂存于危险废物暂存间，定期交有相关危险废物处理资质单位处理。</w:t>
            </w:r>
          </w:p>
          <w:p>
            <w:pPr>
              <w:ind w:firstLine="480"/>
              <w:rPr>
                <w:lang w:val="zh-CN"/>
              </w:rPr>
            </w:pPr>
            <w:r>
              <w:rPr>
                <w:rFonts w:hint="eastAsia"/>
                <w:lang w:val="zh-CN"/>
              </w:rPr>
              <w:t>⑧污泥</w:t>
            </w:r>
          </w:p>
          <w:p>
            <w:pPr>
              <w:ind w:firstLine="480"/>
              <w:rPr>
                <w:lang w:val="zh-CN"/>
              </w:rPr>
            </w:pPr>
            <w:r>
              <w:rPr>
                <w:rFonts w:hint="eastAsia"/>
                <w:lang w:val="zh-CN"/>
              </w:rPr>
              <w:t>项目实验室废水进入自建污水处理设施处理，因此，项目污水处理设施在运营期内会产生一定量污泥，项目污水处理设施污泥产生量可用下式计算：</w:t>
            </w:r>
          </w:p>
          <w:p>
            <w:pPr>
              <w:pStyle w:val="15"/>
              <w:ind w:firstLine="360"/>
              <w:jc w:val="center"/>
              <w:rPr>
                <w:sz w:val="24"/>
              </w:rPr>
            </w:pPr>
            <w:r>
              <w:rPr>
                <w:sz w:val="24"/>
              </w:rPr>
              <w:t>W=10</w:t>
            </w:r>
            <w:r>
              <w:rPr>
                <w:sz w:val="24"/>
                <w:vertAlign w:val="superscript"/>
              </w:rPr>
              <w:t>-6</w:t>
            </w:r>
            <w:r>
              <w:rPr>
                <w:rFonts w:ascii="Arial" w:hAnsi="Arial" w:cs="Arial"/>
                <w:sz w:val="24"/>
              </w:rPr>
              <w:t>×</w:t>
            </w:r>
            <w:r>
              <w:rPr>
                <w:sz w:val="24"/>
              </w:rPr>
              <w:t>Q</w:t>
            </w:r>
            <w:r>
              <w:rPr>
                <w:rFonts w:ascii="Arial" w:hAnsi="Arial" w:cs="Arial"/>
                <w:sz w:val="24"/>
              </w:rPr>
              <w:t>×</w:t>
            </w:r>
            <w:r>
              <w:rPr>
                <w:sz w:val="24"/>
              </w:rPr>
              <w:t>（C</w:t>
            </w:r>
            <w:r>
              <w:rPr>
                <w:sz w:val="24"/>
                <w:vertAlign w:val="subscript"/>
              </w:rPr>
              <w:t>1</w:t>
            </w:r>
            <w:r>
              <w:rPr>
                <w:sz w:val="24"/>
              </w:rPr>
              <w:t>-C</w:t>
            </w:r>
            <w:r>
              <w:rPr>
                <w:sz w:val="24"/>
                <w:vertAlign w:val="subscript"/>
              </w:rPr>
              <w:t>2</w:t>
            </w:r>
            <w:r>
              <w:rPr>
                <w:sz w:val="24"/>
              </w:rPr>
              <w:t>）/（1-P</w:t>
            </w:r>
            <w:r>
              <w:rPr>
                <w:sz w:val="24"/>
                <w:vertAlign w:val="subscript"/>
              </w:rPr>
              <w:t>1</w:t>
            </w:r>
            <w:r>
              <w:rPr>
                <w:sz w:val="24"/>
              </w:rPr>
              <w:t>）</w:t>
            </w:r>
          </w:p>
          <w:p>
            <w:pPr>
              <w:ind w:firstLine="480"/>
            </w:pPr>
            <w:r>
              <w:t>其中，W——污泥量，t/a；Q——污水量，m</w:t>
            </w:r>
            <w:r>
              <w:rPr>
                <w:vertAlign w:val="superscript"/>
              </w:rPr>
              <w:t>3</w:t>
            </w:r>
            <w:r>
              <w:t>/a；C</w:t>
            </w:r>
            <w:r>
              <w:rPr>
                <w:vertAlign w:val="subscript"/>
              </w:rPr>
              <w:t>1</w:t>
            </w:r>
            <w:r>
              <w:t>——污水悬浮物浓度，mg/L；C</w:t>
            </w:r>
            <w:r>
              <w:rPr>
                <w:vertAlign w:val="subscript"/>
              </w:rPr>
              <w:t>2</w:t>
            </w:r>
            <w:r>
              <w:t>——处理后污水悬浮物浓度，mg/L；P</w:t>
            </w:r>
            <w:r>
              <w:rPr>
                <w:vertAlign w:val="subscript"/>
              </w:rPr>
              <w:t>1</w:t>
            </w:r>
            <w:r>
              <w:t>——污泥含水率，</w:t>
            </w:r>
            <w:r>
              <w:rPr>
                <w:rFonts w:hint="eastAsia"/>
              </w:rPr>
              <w:t>根据医疗污泥的相关规定，污泥的含水率不得高于8</w:t>
            </w:r>
            <w:r>
              <w:t>0</w:t>
            </w:r>
            <w:r>
              <w:rPr>
                <w:rFonts w:hint="eastAsia"/>
              </w:rPr>
              <w:t>%，因此</w:t>
            </w:r>
            <w:r>
              <w:t>本项目取</w:t>
            </w:r>
            <w:r>
              <w:rPr>
                <w:rFonts w:hint="eastAsia"/>
              </w:rPr>
              <w:t>80</w:t>
            </w:r>
            <w:r>
              <w:t>%。</w:t>
            </w:r>
          </w:p>
          <w:p>
            <w:pPr>
              <w:ind w:firstLine="480"/>
            </w:pPr>
            <w:r>
              <w:rPr>
                <w:rFonts w:hint="eastAsia"/>
                <w:lang w:val="zh-CN"/>
              </w:rPr>
              <w:t>项目实验室废水产生量为</w:t>
            </w:r>
            <w:r>
              <w:rPr>
                <w:lang w:val="zh-CN"/>
              </w:rPr>
              <w:t>895.079</w:t>
            </w:r>
            <w:r>
              <w:rPr>
                <w:rFonts w:hint="eastAsia"/>
              </w:rPr>
              <w:t>t/a</w:t>
            </w:r>
            <w:r>
              <w:rPr>
                <w:rFonts w:hint="eastAsia"/>
                <w:lang w:val="zh-CN"/>
              </w:rPr>
              <w:t>，进水的悬浮物浓度42mg/L，污水处理后悬浮物浓度</w:t>
            </w:r>
            <w:r>
              <w:rPr>
                <w:lang w:val="zh-CN"/>
              </w:rPr>
              <w:t>12.6</w:t>
            </w:r>
            <w:r>
              <w:rPr>
                <w:rFonts w:hint="eastAsia"/>
                <w:lang w:val="zh-CN"/>
              </w:rPr>
              <w:t>mg/L，则沉淀污泥产生量约0.</w:t>
            </w:r>
            <w:r>
              <w:rPr>
                <w:lang w:val="zh-CN"/>
              </w:rPr>
              <w:t>13</w:t>
            </w:r>
            <w:r>
              <w:rPr>
                <w:rFonts w:hint="eastAsia"/>
                <w:lang w:val="zh-CN"/>
              </w:rPr>
              <w:t>t/a。鉴于项目实验室污水与医疗污水类似，含有少量体检人员的体液、血液等，因此，污泥处置方式参考医疗污泥处置方式。</w:t>
            </w:r>
            <w:r>
              <w:rPr>
                <w:rFonts w:hint="eastAsia"/>
              </w:rPr>
              <w:t>污泥通过企业内的污泥脱水机脱水后通过有资质企业回收处置，抽取污泥脱水前要进行监测</w:t>
            </w:r>
            <w:r>
              <w:t>，满足《医疗机构水污染物排放标准》(GB18466-2005)表4中相关要求后再进行</w:t>
            </w:r>
            <w:r>
              <w:rPr>
                <w:rFonts w:hint="eastAsia"/>
              </w:rPr>
              <w:t>抽取脱水</w:t>
            </w:r>
            <w:r>
              <w:t>。</w:t>
            </w:r>
          </w:p>
          <w:p>
            <w:pPr>
              <w:ind w:firstLine="480"/>
              <w:rPr>
                <w:lang w:val="zh-CN"/>
              </w:rPr>
            </w:pPr>
            <w:r>
              <w:rPr>
                <w:rFonts w:hint="eastAsia"/>
                <w:lang w:val="zh-CN"/>
              </w:rPr>
              <w:t>根据广东省生态环境厅（公众网）回复“根据《医疗废物分类名录》，其他被病人血液、体液、排泄物污染的物品，属于感染性废物，对应危险废物代码为841-001-01”的回复截图，因此根据《国家危险废物名录》（2021年版），污泥属于HW01医疗废物（编号841-001-01），用石灰等消毒剂消毒后定期交有相关危险废物处理资质单位处理。</w:t>
            </w:r>
          </w:p>
          <w:p>
            <w:pPr>
              <w:ind w:firstLine="480"/>
              <w:rPr>
                <w:lang w:val="zh-CN"/>
              </w:rPr>
            </w:pPr>
            <w:r>
              <w:rPr>
                <w:rFonts w:hint="eastAsia"/>
                <w:lang w:val="zh-CN"/>
              </w:rPr>
              <w:t>⑨清洗废液</w:t>
            </w:r>
          </w:p>
          <w:p>
            <w:pPr>
              <w:ind w:firstLine="480"/>
              <w:rPr>
                <w:lang w:val="zh-CN"/>
              </w:rPr>
            </w:pPr>
            <w:r>
              <w:rPr>
                <w:rFonts w:hint="eastAsia"/>
                <w:lang w:val="zh-CN"/>
              </w:rPr>
              <w:t>本项目用自来水清洗掉容器内外壁粘附的初次清洗废水（高浓度）并倒入废液收集桶内；第二次清洗废水也作为危废倒入收集桶，其产生量相对较少。根据《国家危险废物名录》，高浓度试验废水属于危险废物，需要分类收集、用特定的收集装置密闭贮存，送有资质的危险废物处理单位集中处理。清洗废液的产生量为</w:t>
            </w:r>
            <w:r>
              <w:rPr>
                <w:lang w:val="zh-CN"/>
              </w:rPr>
              <w:t>0.5</w:t>
            </w:r>
            <w:r>
              <w:rPr>
                <w:rFonts w:hint="eastAsia"/>
                <w:lang w:val="zh-CN"/>
              </w:rPr>
              <w:t>t/d（</w:t>
            </w:r>
            <w:r>
              <w:rPr>
                <w:lang w:val="zh-CN"/>
              </w:rPr>
              <w:t>182.5</w:t>
            </w:r>
            <w:r>
              <w:rPr>
                <w:rFonts w:hint="eastAsia"/>
                <w:lang w:val="zh-CN"/>
              </w:rPr>
              <w:t>t/a）。</w:t>
            </w:r>
          </w:p>
          <w:p>
            <w:pPr>
              <w:ind w:firstLine="480"/>
              <w:rPr>
                <w:lang w:val="zh-CN"/>
              </w:rPr>
            </w:pPr>
            <w:r>
              <w:rPr>
                <w:rFonts w:hint="eastAsia"/>
                <w:lang w:val="zh-CN"/>
              </w:rPr>
              <w:t>⑩废紫外线灯管</w:t>
            </w:r>
          </w:p>
          <w:p>
            <w:pPr>
              <w:ind w:firstLine="480"/>
              <w:rPr>
                <w:lang w:val="zh-CN"/>
              </w:rPr>
            </w:pPr>
            <w:r>
              <w:rPr>
                <w:rFonts w:hint="eastAsia"/>
                <w:lang w:val="zh-CN"/>
              </w:rPr>
              <w:t>本项目实验室内部使用紫外线灯管消毒，主要是安装在内部天花板，下班时间进行消毒。根据使用寿命，紫外线灯管需定期更换。本项目实验室室内</w:t>
            </w:r>
            <w:r>
              <w:rPr>
                <w:lang w:val="zh-CN"/>
              </w:rPr>
              <w:t>293</w:t>
            </w:r>
            <w:r>
              <w:rPr>
                <w:rFonts w:hint="eastAsia"/>
                <w:lang w:val="zh-CN"/>
              </w:rPr>
              <w:t>根紫外灯管。半年更换一次，灯管约200g，则废紫外线灯管产生量为0.</w:t>
            </w:r>
            <w:r>
              <w:rPr>
                <w:lang w:val="zh-CN"/>
              </w:rPr>
              <w:t>1172</w:t>
            </w:r>
            <w:r>
              <w:rPr>
                <w:rFonts w:hint="eastAsia"/>
                <w:lang w:val="zh-CN"/>
              </w:rPr>
              <w:t>t/a。根据《国家危险废物名录》（2021年版），废紫外线灯管属于HW49其他废物（编号900-041-49），收集后暂存于危险废物暂存间，定期交有相关危险废物处理资质单位处理。</w:t>
            </w:r>
          </w:p>
          <w:p>
            <w:pPr>
              <w:ind w:firstLine="480"/>
              <w:rPr>
                <w:rFonts w:ascii="Cambria Math" w:hAnsi="Cambria Math" w:cs="Cambria Math"/>
                <w:lang w:val="zh-CN"/>
              </w:rPr>
            </w:pPr>
            <w:r>
              <w:rPr>
                <w:rFonts w:ascii="Cambria Math" w:hAnsi="Cambria Math" w:cs="Cambria Math"/>
                <w:lang w:val="zh-CN"/>
              </w:rPr>
              <w:t>⑪</w:t>
            </w:r>
            <w:r>
              <w:rPr>
                <w:rFonts w:hint="eastAsia" w:ascii="Cambria Math" w:hAnsi="Cambria Math" w:cs="Cambria Math"/>
                <w:lang w:val="zh-CN"/>
              </w:rPr>
              <w:t>废活性炭</w:t>
            </w:r>
          </w:p>
          <w:p>
            <w:pPr>
              <w:ind w:firstLine="480"/>
              <w:rPr>
                <w:lang w:val="zh-CN"/>
              </w:rPr>
            </w:pPr>
            <w:r>
              <w:rPr>
                <w:rFonts w:hint="eastAsia"/>
                <w:lang w:val="zh-CN"/>
              </w:rPr>
              <w:t>本项目病例预留室、尿粪分析室、微生物前处理室中废气经收集后引至天台的活性炭处理装置处理后通过2</w:t>
            </w:r>
            <w:r>
              <w:rPr>
                <w:lang w:val="zh-CN"/>
              </w:rPr>
              <w:t>0</w:t>
            </w:r>
            <w:r>
              <w:rPr>
                <w:rFonts w:hint="eastAsia"/>
                <w:lang w:val="zh-CN"/>
              </w:rPr>
              <w:t>米烟囱达标排放。则有机废气治理过程会产生废活性炭。集气装置对有机废气的吸附量约为</w:t>
            </w:r>
            <w:r>
              <w:rPr>
                <w:lang w:val="zh-CN"/>
              </w:rPr>
              <w:t>3.128</w:t>
            </w:r>
            <w:r>
              <w:rPr>
                <w:rFonts w:hint="eastAsia"/>
                <w:lang w:val="zh-CN"/>
              </w:rPr>
              <w:t>kg/a，活性炭装置对有机废气的吸附效率按</w:t>
            </w:r>
            <w:r>
              <w:rPr>
                <w:lang w:val="zh-CN"/>
              </w:rPr>
              <w:t>20</w:t>
            </w:r>
            <w:r>
              <w:rPr>
                <w:rFonts w:hint="eastAsia"/>
                <w:lang w:val="zh-CN"/>
              </w:rPr>
              <w:t>%计，则被吸附的有机废气0.</w:t>
            </w:r>
            <w:r>
              <w:rPr>
                <w:lang w:val="zh-CN"/>
              </w:rPr>
              <w:t>6265</w:t>
            </w:r>
            <w:r>
              <w:rPr>
                <w:rFonts w:hint="eastAsia"/>
                <w:lang w:val="zh-CN"/>
              </w:rPr>
              <w:t>kg/a，参考《简明通风设计手册》，活性炭有效吸附Qe=0.25kg废气/kg活性炭，即活性炭吸附处理设施所需活性炭用量为0.</w:t>
            </w:r>
            <w:r>
              <w:rPr>
                <w:lang w:val="zh-CN"/>
              </w:rPr>
              <w:t>6265</w:t>
            </w:r>
            <w:r>
              <w:rPr>
                <w:rFonts w:hint="eastAsia"/>
                <w:lang w:val="zh-CN"/>
              </w:rPr>
              <w:t>÷0.25=</w:t>
            </w:r>
            <w:r>
              <w:rPr>
                <w:lang w:val="zh-CN"/>
              </w:rPr>
              <w:t>2.50</w:t>
            </w:r>
            <w:r>
              <w:rPr>
                <w:rFonts w:hint="eastAsia"/>
                <w:lang w:val="zh-CN"/>
              </w:rPr>
              <w:t>kg/a。根据企业提供资料，企业活性炭处理装置中活性炭最大量为</w:t>
            </w:r>
            <w:r>
              <w:rPr>
                <w:lang w:val="zh-CN"/>
              </w:rPr>
              <w:t>10</w:t>
            </w:r>
            <w:r>
              <w:rPr>
                <w:rFonts w:hint="eastAsia"/>
                <w:lang w:val="zh-CN"/>
              </w:rPr>
              <w:t>kg，每两个月更换一次，共有两台活性炭处理装置，因此，活性炭的产生量为（1</w:t>
            </w:r>
            <w:r>
              <w:rPr>
                <w:lang w:val="zh-CN"/>
              </w:rPr>
              <w:t>0*2*6</w:t>
            </w:r>
            <w:r>
              <w:rPr>
                <w:rFonts w:hint="eastAsia"/>
                <w:lang w:val="zh-CN"/>
              </w:rPr>
              <w:t>=）1</w:t>
            </w:r>
            <w:r>
              <w:rPr>
                <w:lang w:val="zh-CN"/>
              </w:rPr>
              <w:t>20</w:t>
            </w:r>
            <w:r>
              <w:rPr>
                <w:rFonts w:hint="eastAsia"/>
                <w:lang w:val="zh-CN"/>
              </w:rPr>
              <w:t>kg</w:t>
            </w:r>
            <w:r>
              <w:rPr>
                <w:lang w:val="zh-CN"/>
              </w:rPr>
              <w:t>/</w:t>
            </w:r>
            <w:r>
              <w:rPr>
                <w:rFonts w:hint="eastAsia"/>
                <w:lang w:val="zh-CN"/>
              </w:rPr>
              <w:t>a，加上被吸附的污染物量（约为</w:t>
            </w:r>
            <w:r>
              <w:rPr>
                <w:lang w:val="zh-CN"/>
              </w:rPr>
              <w:t>2.</w:t>
            </w:r>
            <w:r>
              <w:rPr>
                <w:rFonts w:hint="eastAsia"/>
                <w:lang w:val="zh-CN"/>
              </w:rPr>
              <w:t>5</w:t>
            </w:r>
            <w:r>
              <w:rPr>
                <w:lang w:val="zh-CN"/>
              </w:rPr>
              <w:t>0</w:t>
            </w:r>
            <w:r>
              <w:rPr>
                <w:rFonts w:hint="eastAsia"/>
                <w:lang w:val="zh-CN"/>
              </w:rPr>
              <w:t>kg/a），则本项目废活性炭产生量约为</w:t>
            </w:r>
            <w:r>
              <w:rPr>
                <w:lang w:val="zh-CN"/>
              </w:rPr>
              <w:t>122.5</w:t>
            </w:r>
            <w:r>
              <w:rPr>
                <w:rFonts w:hint="eastAsia"/>
                <w:lang w:val="zh-CN"/>
              </w:rPr>
              <w:t>kg/a（0</w:t>
            </w:r>
            <w:r>
              <w:rPr>
                <w:lang w:val="zh-CN"/>
              </w:rPr>
              <w:t>.1225</w:t>
            </w:r>
            <w:r>
              <w:rPr>
                <w:rFonts w:hint="eastAsia"/>
                <w:lang w:val="zh-CN"/>
              </w:rPr>
              <w:t>t/a）。</w:t>
            </w:r>
          </w:p>
        </w:tc>
      </w:tr>
    </w:tbl>
    <w:p>
      <w:pPr>
        <w:ind w:firstLine="480"/>
        <w:rPr>
          <w:lang w:eastAsia="zh-CN"/>
        </w:rPr>
        <w:sectPr>
          <w:pgSz w:w="11906" w:h="16838"/>
          <w:pgMar w:top="1440" w:right="1800" w:bottom="1440" w:left="1800" w:header="851" w:footer="992" w:gutter="0"/>
          <w:cols w:space="720" w:num="1"/>
          <w:docGrid w:type="lines" w:linePitch="326" w:charSpace="0"/>
        </w:sectPr>
      </w:pP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122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2" w:hRule="atLeast"/>
          <w:jc w:val="center"/>
        </w:trPr>
        <w:tc>
          <w:tcPr>
            <w:tcW w:w="694" w:type="pct"/>
            <w:vAlign w:val="center"/>
          </w:tcPr>
          <w:p>
            <w:pPr>
              <w:spacing w:line="240" w:lineRule="auto"/>
              <w:ind w:firstLine="0" w:firstLineChars="0"/>
              <w:jc w:val="center"/>
            </w:pPr>
            <w:r>
              <w:t>运营期环境影响和保护措施</w:t>
            </w:r>
          </w:p>
        </w:tc>
        <w:tc>
          <w:tcPr>
            <w:tcW w:w="4306" w:type="pct"/>
          </w:tcPr>
          <w:p>
            <w:pPr>
              <w:ind w:firstLine="480"/>
            </w:pPr>
            <w:r>
              <w:rPr>
                <w:rFonts w:hint="eastAsia"/>
              </w:rPr>
              <w:t>本项目固体废物污染源强核算结果见下表。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21</w:t>
            </w:r>
            <w:r>
              <w:fldChar w:fldCharType="end"/>
            </w:r>
            <w:r>
              <w:rPr>
                <w:rFonts w:hint="eastAsia"/>
              </w:rPr>
              <w:t>固体废物污染源源强核算结果及处理处置方式一览表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2387"/>
              <w:gridCol w:w="1845"/>
              <w:gridCol w:w="1198"/>
              <w:gridCol w:w="769"/>
              <w:gridCol w:w="1134"/>
              <w:gridCol w:w="786"/>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产生环节</w:t>
                  </w:r>
                </w:p>
              </w:tc>
              <w:tc>
                <w:tcPr>
                  <w:tcW w:w="996"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固体废物名称</w:t>
                  </w:r>
                </w:p>
              </w:tc>
              <w:tc>
                <w:tcPr>
                  <w:tcW w:w="770"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属性</w:t>
                  </w:r>
                </w:p>
              </w:tc>
              <w:tc>
                <w:tcPr>
                  <w:tcW w:w="500" w:type="pct"/>
                  <w:tcBorders>
                    <w:top w:val="single" w:color="000000" w:sz="4" w:space="0"/>
                    <w:left w:val="single" w:color="000000" w:sz="4" w:space="0"/>
                    <w:right w:val="single" w:color="000000" w:sz="4" w:space="0"/>
                  </w:tcBorders>
                  <w:vAlign w:val="center"/>
                </w:tcPr>
                <w:p>
                  <w:pPr>
                    <w:pStyle w:val="66"/>
                  </w:pPr>
                  <w:r>
                    <w:rPr>
                      <w:rFonts w:hint="eastAsia"/>
                    </w:rPr>
                    <w:t>主要有毒有害物质名称</w:t>
                  </w:r>
                </w:p>
              </w:tc>
              <w:tc>
                <w:tcPr>
                  <w:tcW w:w="321" w:type="pct"/>
                  <w:tcBorders>
                    <w:top w:val="single" w:color="000000" w:sz="4" w:space="0"/>
                    <w:left w:val="single" w:color="000000" w:sz="4" w:space="0"/>
                    <w:right w:val="single" w:color="000000" w:sz="4" w:space="0"/>
                  </w:tcBorders>
                  <w:vAlign w:val="center"/>
                </w:tcPr>
                <w:p>
                  <w:pPr>
                    <w:pStyle w:val="66"/>
                  </w:pPr>
                  <w:r>
                    <w:rPr>
                      <w:rFonts w:hint="eastAsia"/>
                    </w:rPr>
                    <w:t>物理性状</w:t>
                  </w:r>
                </w:p>
              </w:tc>
              <w:tc>
                <w:tcPr>
                  <w:tcW w:w="473" w:type="pct"/>
                  <w:tcBorders>
                    <w:top w:val="single" w:color="000000" w:sz="4" w:space="0"/>
                    <w:left w:val="single" w:color="000000" w:sz="4" w:space="0"/>
                    <w:right w:val="single" w:color="000000" w:sz="4" w:space="0"/>
                  </w:tcBorders>
                  <w:vAlign w:val="center"/>
                </w:tcPr>
                <w:p>
                  <w:pPr>
                    <w:pStyle w:val="66"/>
                  </w:pPr>
                  <w:r>
                    <w:rPr>
                      <w:rFonts w:hint="eastAsia"/>
                    </w:rPr>
                    <w:t>年产生量（</w:t>
                  </w:r>
                  <w:r>
                    <w:t>t/a</w:t>
                  </w:r>
                  <w:r>
                    <w:rPr>
                      <w:rFonts w:hint="eastAsia"/>
                    </w:rPr>
                    <w:t>）</w:t>
                  </w:r>
                </w:p>
              </w:tc>
              <w:tc>
                <w:tcPr>
                  <w:tcW w:w="328" w:type="pct"/>
                  <w:tcBorders>
                    <w:top w:val="single" w:color="000000" w:sz="4" w:space="0"/>
                    <w:left w:val="single" w:color="000000" w:sz="4" w:space="0"/>
                    <w:right w:val="single" w:color="000000" w:sz="4" w:space="0"/>
                  </w:tcBorders>
                  <w:vAlign w:val="center"/>
                </w:tcPr>
                <w:p>
                  <w:pPr>
                    <w:pStyle w:val="66"/>
                  </w:pPr>
                  <w:r>
                    <w:rPr>
                      <w:rFonts w:hint="eastAsia"/>
                    </w:rPr>
                    <w:t>贮存</w:t>
                  </w:r>
                </w:p>
                <w:p>
                  <w:pPr>
                    <w:pStyle w:val="66"/>
                  </w:pPr>
                  <w:r>
                    <w:rPr>
                      <w:rFonts w:hint="eastAsia"/>
                    </w:rPr>
                    <w:t>方式</w:t>
                  </w:r>
                </w:p>
              </w:tc>
              <w:tc>
                <w:tcPr>
                  <w:tcW w:w="1099" w:type="pct"/>
                  <w:tcBorders>
                    <w:top w:val="single" w:color="000000" w:sz="4" w:space="0"/>
                    <w:left w:val="single" w:color="000000" w:sz="4" w:space="0"/>
                    <w:right w:val="single" w:color="000000" w:sz="4" w:space="0"/>
                  </w:tcBorders>
                  <w:vAlign w:val="center"/>
                </w:tcPr>
                <w:p>
                  <w:pPr>
                    <w:pStyle w:val="66"/>
                  </w:pPr>
                  <w:r>
                    <w:rPr>
                      <w:rFonts w:hint="eastAsia"/>
                    </w:rPr>
                    <w:t>利用处置方式和去向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pct"/>
                  <w:tcBorders>
                    <w:top w:val="single" w:color="000000" w:sz="4" w:space="0"/>
                    <w:left w:val="single" w:color="000000" w:sz="4" w:space="0"/>
                    <w:right w:val="single" w:color="000000" w:sz="4" w:space="0"/>
                  </w:tcBorders>
                  <w:vAlign w:val="center"/>
                </w:tcPr>
                <w:p>
                  <w:pPr>
                    <w:pStyle w:val="66"/>
                  </w:pPr>
                  <w:r>
                    <w:rPr>
                      <w:rFonts w:hint="eastAsia"/>
                    </w:rPr>
                    <w:t>日常运行</w:t>
                  </w:r>
                </w:p>
              </w:tc>
              <w:tc>
                <w:tcPr>
                  <w:tcW w:w="996"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生活垃圾</w:t>
                  </w:r>
                </w:p>
              </w:tc>
              <w:tc>
                <w:tcPr>
                  <w:tcW w:w="770" w:type="pct"/>
                  <w:tcBorders>
                    <w:top w:val="single" w:color="000000" w:sz="4" w:space="0"/>
                    <w:left w:val="single" w:color="000000" w:sz="4" w:space="0"/>
                    <w:right w:val="single" w:color="000000" w:sz="4" w:space="0"/>
                  </w:tcBorders>
                  <w:vAlign w:val="center"/>
                </w:tcPr>
                <w:p>
                  <w:pPr>
                    <w:pStyle w:val="66"/>
                  </w:pPr>
                  <w:r>
                    <w:rPr>
                      <w:rFonts w:hint="eastAsia"/>
                    </w:rPr>
                    <w:t>生活垃圾</w:t>
                  </w:r>
                </w:p>
              </w:tc>
              <w:tc>
                <w:tcPr>
                  <w:tcW w:w="500" w:type="pct"/>
                  <w:tcBorders>
                    <w:left w:val="single" w:color="000000" w:sz="4" w:space="0"/>
                    <w:right w:val="single" w:color="000000" w:sz="4" w:space="0"/>
                  </w:tcBorders>
                  <w:vAlign w:val="center"/>
                </w:tcPr>
                <w:p>
                  <w:pPr>
                    <w:pStyle w:val="66"/>
                  </w:pPr>
                  <w:r>
                    <w:rPr>
                      <w:rFonts w:hint="eastAsia"/>
                    </w:rPr>
                    <w:t>无</w:t>
                  </w:r>
                </w:p>
              </w:tc>
              <w:tc>
                <w:tcPr>
                  <w:tcW w:w="321" w:type="pct"/>
                  <w:tcBorders>
                    <w:left w:val="single" w:color="000000" w:sz="4" w:space="0"/>
                    <w:right w:val="single" w:color="000000" w:sz="4" w:space="0"/>
                  </w:tcBorders>
                  <w:vAlign w:val="center"/>
                </w:tcPr>
                <w:p>
                  <w:pPr>
                    <w:pStyle w:val="66"/>
                  </w:pPr>
                  <w:r>
                    <w:rPr>
                      <w:rFonts w:hint="eastAsia"/>
                    </w:rPr>
                    <w:t>固体</w:t>
                  </w:r>
                </w:p>
              </w:tc>
              <w:tc>
                <w:tcPr>
                  <w:tcW w:w="473" w:type="pct"/>
                  <w:tcBorders>
                    <w:top w:val="single" w:color="000000" w:sz="4" w:space="0"/>
                    <w:left w:val="single" w:color="000000" w:sz="4" w:space="0"/>
                    <w:bottom w:val="single" w:color="000000" w:sz="4" w:space="0"/>
                    <w:right w:val="single" w:color="000000" w:sz="4" w:space="0"/>
                  </w:tcBorders>
                  <w:vAlign w:val="center"/>
                </w:tcPr>
                <w:p>
                  <w:pPr>
                    <w:pStyle w:val="66"/>
                    <w:rPr>
                      <w:lang w:eastAsia="zh-CN"/>
                    </w:rPr>
                  </w:pPr>
                  <w:r>
                    <w:rPr>
                      <w:rFonts w:hint="eastAsia"/>
                      <w:lang w:eastAsia="zh-CN"/>
                    </w:rPr>
                    <w:t>2</w:t>
                  </w:r>
                  <w:r>
                    <w:rPr>
                      <w:lang w:eastAsia="zh-CN"/>
                    </w:rPr>
                    <w:t>.74</w:t>
                  </w:r>
                </w:p>
              </w:tc>
              <w:tc>
                <w:tcPr>
                  <w:tcW w:w="328" w:type="pct"/>
                  <w:tcBorders>
                    <w:top w:val="single" w:color="000000" w:sz="4" w:space="0"/>
                    <w:left w:val="single" w:color="000000" w:sz="4" w:space="0"/>
                    <w:right w:val="single" w:color="000000" w:sz="4" w:space="0"/>
                  </w:tcBorders>
                  <w:vAlign w:val="center"/>
                </w:tcPr>
                <w:p>
                  <w:pPr>
                    <w:pStyle w:val="66"/>
                  </w:pPr>
                  <w:r>
                    <w:rPr>
                      <w:rFonts w:hint="eastAsia"/>
                    </w:rPr>
                    <w:t>桶装</w:t>
                  </w:r>
                </w:p>
              </w:tc>
              <w:tc>
                <w:tcPr>
                  <w:tcW w:w="1099" w:type="pct"/>
                  <w:tcBorders>
                    <w:top w:val="single" w:color="000000" w:sz="4" w:space="0"/>
                    <w:left w:val="single" w:color="000000" w:sz="4" w:space="0"/>
                    <w:right w:val="single" w:color="000000" w:sz="4" w:space="0"/>
                  </w:tcBorders>
                  <w:vAlign w:val="center"/>
                </w:tcPr>
                <w:p>
                  <w:pPr>
                    <w:pStyle w:val="66"/>
                  </w:pPr>
                  <w:r>
                    <w:rPr>
                      <w:rFonts w:hint="eastAsia"/>
                    </w:rPr>
                    <w:t>交由环卫部门清运处理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pct"/>
                  <w:tcBorders>
                    <w:top w:val="single" w:color="000000" w:sz="4" w:space="0"/>
                    <w:left w:val="single" w:color="000000" w:sz="4" w:space="0"/>
                    <w:right w:val="single" w:color="000000" w:sz="4" w:space="0"/>
                  </w:tcBorders>
                  <w:vAlign w:val="center"/>
                </w:tcPr>
                <w:p>
                  <w:pPr>
                    <w:pStyle w:val="66"/>
                  </w:pPr>
                  <w:r>
                    <w:t>原料拆包</w:t>
                  </w:r>
                </w:p>
              </w:tc>
              <w:tc>
                <w:tcPr>
                  <w:tcW w:w="996"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废包装材料</w:t>
                  </w:r>
                </w:p>
              </w:tc>
              <w:tc>
                <w:tcPr>
                  <w:tcW w:w="770" w:type="pct"/>
                  <w:vMerge w:val="restart"/>
                  <w:tcBorders>
                    <w:left w:val="single" w:color="000000" w:sz="4" w:space="0"/>
                    <w:right w:val="single" w:color="000000" w:sz="4" w:space="0"/>
                  </w:tcBorders>
                  <w:vAlign w:val="center"/>
                </w:tcPr>
                <w:p>
                  <w:pPr>
                    <w:pStyle w:val="66"/>
                  </w:pPr>
                  <w:r>
                    <w:rPr>
                      <w:rFonts w:hint="eastAsia"/>
                    </w:rPr>
                    <w:t>一般工业固体废物</w:t>
                  </w:r>
                </w:p>
              </w:tc>
              <w:tc>
                <w:tcPr>
                  <w:tcW w:w="500" w:type="pct"/>
                  <w:tcBorders>
                    <w:left w:val="single" w:color="000000" w:sz="4" w:space="0"/>
                    <w:right w:val="single" w:color="000000" w:sz="4" w:space="0"/>
                  </w:tcBorders>
                  <w:vAlign w:val="center"/>
                </w:tcPr>
                <w:p>
                  <w:pPr>
                    <w:pStyle w:val="66"/>
                  </w:pPr>
                  <w:r>
                    <w:rPr>
                      <w:rFonts w:hint="eastAsia"/>
                    </w:rPr>
                    <w:t>无</w:t>
                  </w:r>
                </w:p>
              </w:tc>
              <w:tc>
                <w:tcPr>
                  <w:tcW w:w="321" w:type="pct"/>
                  <w:tcBorders>
                    <w:left w:val="single" w:color="000000" w:sz="4" w:space="0"/>
                    <w:right w:val="single" w:color="000000" w:sz="4" w:space="0"/>
                  </w:tcBorders>
                  <w:vAlign w:val="center"/>
                </w:tcPr>
                <w:p>
                  <w:pPr>
                    <w:pStyle w:val="66"/>
                  </w:pPr>
                  <w:r>
                    <w:rPr>
                      <w:rFonts w:hint="eastAsia"/>
                    </w:rPr>
                    <w:t>固体</w:t>
                  </w:r>
                </w:p>
              </w:tc>
              <w:tc>
                <w:tcPr>
                  <w:tcW w:w="473" w:type="pct"/>
                  <w:tcBorders>
                    <w:top w:val="single" w:color="000000" w:sz="4" w:space="0"/>
                    <w:left w:val="single" w:color="000000" w:sz="4" w:space="0"/>
                    <w:bottom w:val="single" w:color="000000" w:sz="4" w:space="0"/>
                    <w:right w:val="single" w:color="000000" w:sz="4" w:space="0"/>
                  </w:tcBorders>
                  <w:vAlign w:val="center"/>
                </w:tcPr>
                <w:p>
                  <w:pPr>
                    <w:pStyle w:val="66"/>
                    <w:rPr>
                      <w:lang w:eastAsia="zh-CN"/>
                    </w:rPr>
                  </w:pPr>
                  <w:r>
                    <w:rPr>
                      <w:rFonts w:hint="eastAsia"/>
                      <w:lang w:eastAsia="zh-CN"/>
                    </w:rPr>
                    <w:t>1</w:t>
                  </w:r>
                  <w:r>
                    <w:rPr>
                      <w:lang w:eastAsia="zh-CN"/>
                    </w:rPr>
                    <w:t>.2</w:t>
                  </w:r>
                </w:p>
              </w:tc>
              <w:tc>
                <w:tcPr>
                  <w:tcW w:w="328" w:type="pct"/>
                  <w:tcBorders>
                    <w:left w:val="single" w:color="000000" w:sz="4" w:space="0"/>
                    <w:right w:val="single" w:color="000000" w:sz="4" w:space="0"/>
                  </w:tcBorders>
                  <w:vAlign w:val="center"/>
                </w:tcPr>
                <w:p>
                  <w:pPr>
                    <w:pStyle w:val="66"/>
                  </w:pPr>
                  <w:r>
                    <w:rPr>
                      <w:rFonts w:hint="eastAsia"/>
                    </w:rPr>
                    <w:t>袋装</w:t>
                  </w:r>
                </w:p>
              </w:tc>
              <w:tc>
                <w:tcPr>
                  <w:tcW w:w="1099" w:type="pct"/>
                  <w:tcBorders>
                    <w:left w:val="single" w:color="000000" w:sz="4" w:space="0"/>
                    <w:bottom w:val="single" w:color="000000" w:sz="8" w:space="0"/>
                    <w:right w:val="single" w:color="000000" w:sz="4" w:space="0"/>
                  </w:tcBorders>
                  <w:vAlign w:val="center"/>
                </w:tcPr>
                <w:p>
                  <w:pPr>
                    <w:pStyle w:val="66"/>
                  </w:pPr>
                  <w:r>
                    <w:rPr>
                      <w:rFonts w:hint="eastAsia"/>
                    </w:rPr>
                    <w:t>交由资源回收单位回收处理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12" w:type="pct"/>
                  <w:tcBorders>
                    <w:top w:val="single" w:color="000000" w:sz="4" w:space="0"/>
                    <w:left w:val="single" w:color="000000" w:sz="4" w:space="0"/>
                    <w:bottom w:val="single" w:color="auto" w:sz="4" w:space="0"/>
                    <w:right w:val="single" w:color="000000" w:sz="4" w:space="0"/>
                  </w:tcBorders>
                  <w:vAlign w:val="center"/>
                </w:tcPr>
                <w:p>
                  <w:pPr>
                    <w:pStyle w:val="66"/>
                  </w:pPr>
                  <w:r>
                    <w:rPr>
                      <w:rFonts w:hint="eastAsia"/>
                    </w:rPr>
                    <w:t>纯水装置</w:t>
                  </w:r>
                </w:p>
              </w:tc>
              <w:tc>
                <w:tcPr>
                  <w:tcW w:w="996" w:type="pct"/>
                  <w:tcBorders>
                    <w:top w:val="single" w:color="000000" w:sz="4" w:space="0"/>
                    <w:left w:val="single" w:color="000000" w:sz="4" w:space="0"/>
                    <w:bottom w:val="single" w:color="auto" w:sz="4" w:space="0"/>
                    <w:right w:val="single" w:color="000000" w:sz="4" w:space="0"/>
                  </w:tcBorders>
                  <w:vAlign w:val="center"/>
                </w:tcPr>
                <w:p>
                  <w:pPr>
                    <w:pStyle w:val="66"/>
                  </w:pPr>
                  <w:r>
                    <w:rPr>
                      <w:rFonts w:hint="eastAsia"/>
                    </w:rPr>
                    <w:t>废渗透膜</w:t>
                  </w:r>
                </w:p>
              </w:tc>
              <w:tc>
                <w:tcPr>
                  <w:tcW w:w="770" w:type="pct"/>
                  <w:vMerge w:val="continue"/>
                  <w:tcBorders>
                    <w:left w:val="single" w:color="000000" w:sz="4" w:space="0"/>
                    <w:right w:val="single" w:color="000000" w:sz="4" w:space="0"/>
                  </w:tcBorders>
                  <w:vAlign w:val="center"/>
                </w:tcPr>
                <w:p>
                  <w:pPr>
                    <w:pStyle w:val="66"/>
                  </w:pPr>
                </w:p>
              </w:tc>
              <w:tc>
                <w:tcPr>
                  <w:tcW w:w="500" w:type="pct"/>
                  <w:tcBorders>
                    <w:left w:val="single" w:color="000000" w:sz="4" w:space="0"/>
                    <w:right w:val="single" w:color="000000" w:sz="4" w:space="0"/>
                  </w:tcBorders>
                  <w:vAlign w:val="center"/>
                </w:tcPr>
                <w:p>
                  <w:pPr>
                    <w:pStyle w:val="66"/>
                  </w:pPr>
                  <w:r>
                    <w:rPr>
                      <w:rFonts w:hint="eastAsia"/>
                    </w:rPr>
                    <w:t>无</w:t>
                  </w:r>
                </w:p>
              </w:tc>
              <w:tc>
                <w:tcPr>
                  <w:tcW w:w="321" w:type="pct"/>
                  <w:tcBorders>
                    <w:left w:val="single" w:color="000000" w:sz="4" w:space="0"/>
                    <w:right w:val="single" w:color="000000" w:sz="4" w:space="0"/>
                  </w:tcBorders>
                  <w:vAlign w:val="center"/>
                </w:tcPr>
                <w:p>
                  <w:pPr>
                    <w:pStyle w:val="66"/>
                  </w:pPr>
                  <w:r>
                    <w:rPr>
                      <w:rFonts w:hint="eastAsia"/>
                    </w:rPr>
                    <w:t>固体</w:t>
                  </w:r>
                </w:p>
              </w:tc>
              <w:tc>
                <w:tcPr>
                  <w:tcW w:w="473" w:type="pct"/>
                  <w:tcBorders>
                    <w:top w:val="single" w:color="000000" w:sz="4" w:space="0"/>
                    <w:left w:val="single" w:color="000000" w:sz="4" w:space="0"/>
                    <w:right w:val="single" w:color="000000" w:sz="4" w:space="0"/>
                  </w:tcBorders>
                  <w:vAlign w:val="center"/>
                </w:tcPr>
                <w:p>
                  <w:pPr>
                    <w:pStyle w:val="66"/>
                    <w:rPr>
                      <w:lang w:eastAsia="zh-CN"/>
                    </w:rPr>
                  </w:pPr>
                  <w:r>
                    <w:rPr>
                      <w:rFonts w:hint="eastAsia"/>
                      <w:lang w:eastAsia="zh-CN"/>
                    </w:rPr>
                    <w:t>0</w:t>
                  </w:r>
                  <w:r>
                    <w:rPr>
                      <w:lang w:eastAsia="zh-CN"/>
                    </w:rPr>
                    <w:t>.01</w:t>
                  </w:r>
                </w:p>
              </w:tc>
              <w:tc>
                <w:tcPr>
                  <w:tcW w:w="328" w:type="pct"/>
                  <w:tcBorders>
                    <w:left w:val="single" w:color="000000" w:sz="4" w:space="0"/>
                    <w:right w:val="single" w:color="000000" w:sz="4" w:space="0"/>
                  </w:tcBorders>
                  <w:vAlign w:val="center"/>
                </w:tcPr>
                <w:p>
                  <w:pPr>
                    <w:pStyle w:val="66"/>
                  </w:pPr>
                  <w:r>
                    <w:rPr>
                      <w:rFonts w:hint="eastAsia"/>
                    </w:rPr>
                    <w:t>/</w:t>
                  </w:r>
                </w:p>
              </w:tc>
              <w:tc>
                <w:tcPr>
                  <w:tcW w:w="1099" w:type="pct"/>
                  <w:tcBorders>
                    <w:top w:val="single" w:color="000000" w:sz="8" w:space="0"/>
                    <w:left w:val="single" w:color="000000" w:sz="4" w:space="0"/>
                    <w:bottom w:val="single" w:color="000000" w:sz="8" w:space="0"/>
                    <w:right w:val="single" w:color="000000" w:sz="4" w:space="0"/>
                  </w:tcBorders>
                  <w:vAlign w:val="center"/>
                </w:tcPr>
                <w:p>
                  <w:pPr>
                    <w:pStyle w:val="66"/>
                  </w:pPr>
                  <w:r>
                    <w:rPr>
                      <w:rFonts w:hint="eastAsia"/>
                    </w:rPr>
                    <w:t>由纯水系统安装公司负责上门更换并回收废渗透膜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12" w:type="pct"/>
                  <w:tcBorders>
                    <w:top w:val="single" w:color="000000" w:sz="4" w:space="0"/>
                    <w:left w:val="single" w:color="000000" w:sz="4" w:space="0"/>
                    <w:right w:val="single" w:color="000000" w:sz="4" w:space="0"/>
                  </w:tcBorders>
                  <w:vAlign w:val="center"/>
                </w:tcPr>
                <w:p>
                  <w:pPr>
                    <w:pStyle w:val="66"/>
                  </w:pPr>
                  <w:r>
                    <w:rPr>
                      <w:rFonts w:hint="eastAsia"/>
                    </w:rPr>
                    <w:t>实验检测</w:t>
                  </w:r>
                </w:p>
              </w:tc>
              <w:tc>
                <w:tcPr>
                  <w:tcW w:w="996"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废样</w:t>
                  </w:r>
                  <w:r>
                    <w:rPr>
                      <w:rFonts w:hint="eastAsia"/>
                      <w:lang w:eastAsia="zh-CN"/>
                    </w:rPr>
                    <w:t>品</w:t>
                  </w:r>
                  <w:r>
                    <w:rPr>
                      <w:rFonts w:hint="eastAsia"/>
                    </w:rPr>
                    <w:t>及检测废液</w:t>
                  </w:r>
                </w:p>
              </w:tc>
              <w:tc>
                <w:tcPr>
                  <w:tcW w:w="770" w:type="pct"/>
                  <w:tcBorders>
                    <w:left w:val="single" w:color="000000" w:sz="4" w:space="0"/>
                    <w:right w:val="single" w:color="000000" w:sz="4" w:space="0"/>
                  </w:tcBorders>
                  <w:vAlign w:val="center"/>
                </w:tcPr>
                <w:p>
                  <w:pPr>
                    <w:pStyle w:val="66"/>
                  </w:pPr>
                  <w:r>
                    <w:rPr>
                      <w:rFonts w:hint="eastAsia"/>
                    </w:rPr>
                    <w:t>HW01医疗废物</w:t>
                  </w:r>
                </w:p>
              </w:tc>
              <w:tc>
                <w:tcPr>
                  <w:tcW w:w="500" w:type="pct"/>
                  <w:tcBorders>
                    <w:left w:val="single" w:color="000000" w:sz="4" w:space="0"/>
                    <w:right w:val="single" w:color="000000" w:sz="4" w:space="0"/>
                  </w:tcBorders>
                  <w:vAlign w:val="center"/>
                </w:tcPr>
                <w:p>
                  <w:pPr>
                    <w:pStyle w:val="66"/>
                  </w:pPr>
                  <w:r>
                    <w:rPr>
                      <w:rFonts w:hint="eastAsia"/>
                    </w:rPr>
                    <w:t>/</w:t>
                  </w:r>
                </w:p>
              </w:tc>
              <w:tc>
                <w:tcPr>
                  <w:tcW w:w="321" w:type="pct"/>
                  <w:tcBorders>
                    <w:left w:val="single" w:color="000000" w:sz="4" w:space="0"/>
                    <w:right w:val="single" w:color="000000" w:sz="4" w:space="0"/>
                  </w:tcBorders>
                  <w:vAlign w:val="center"/>
                </w:tcPr>
                <w:p>
                  <w:pPr>
                    <w:pStyle w:val="66"/>
                  </w:pPr>
                  <w:r>
                    <w:rPr>
                      <w:rFonts w:hint="eastAsia"/>
                    </w:rPr>
                    <w:t>液体</w:t>
                  </w:r>
                </w:p>
              </w:tc>
              <w:tc>
                <w:tcPr>
                  <w:tcW w:w="473" w:type="pct"/>
                  <w:tcBorders>
                    <w:top w:val="single" w:color="000000" w:sz="4" w:space="0"/>
                    <w:left w:val="single" w:color="000000" w:sz="4" w:space="0"/>
                    <w:bottom w:val="single" w:color="000000" w:sz="4" w:space="0"/>
                    <w:right w:val="single" w:color="000000" w:sz="4" w:space="0"/>
                  </w:tcBorders>
                  <w:vAlign w:val="center"/>
                </w:tcPr>
                <w:p>
                  <w:pPr>
                    <w:pStyle w:val="66"/>
                    <w:rPr>
                      <w:lang w:eastAsia="zh-CN"/>
                    </w:rPr>
                  </w:pPr>
                  <w:r>
                    <w:rPr>
                      <w:rFonts w:hint="eastAsia"/>
                      <w:lang w:eastAsia="zh-CN"/>
                    </w:rPr>
                    <w:t>1</w:t>
                  </w:r>
                  <w:r>
                    <w:rPr>
                      <w:lang w:eastAsia="zh-CN"/>
                    </w:rPr>
                    <w:t>3.6</w:t>
                  </w:r>
                </w:p>
              </w:tc>
              <w:tc>
                <w:tcPr>
                  <w:tcW w:w="328" w:type="pct"/>
                  <w:tcBorders>
                    <w:left w:val="single" w:color="000000" w:sz="4" w:space="0"/>
                    <w:bottom w:val="single" w:color="000000" w:sz="8" w:space="0"/>
                    <w:right w:val="single" w:color="000000" w:sz="4" w:space="0"/>
                  </w:tcBorders>
                  <w:vAlign w:val="center"/>
                </w:tcPr>
                <w:p>
                  <w:pPr>
                    <w:pStyle w:val="66"/>
                  </w:pPr>
                  <w:r>
                    <w:rPr>
                      <w:rFonts w:hint="eastAsia"/>
                    </w:rPr>
                    <w:t>桶装</w:t>
                  </w:r>
                </w:p>
              </w:tc>
              <w:tc>
                <w:tcPr>
                  <w:tcW w:w="1099" w:type="pct"/>
                  <w:vMerge w:val="restart"/>
                  <w:tcBorders>
                    <w:left w:val="single" w:color="000000" w:sz="4" w:space="0"/>
                    <w:right w:val="single" w:color="000000" w:sz="4" w:space="0"/>
                  </w:tcBorders>
                  <w:vAlign w:val="center"/>
                </w:tcPr>
                <w:p>
                  <w:pPr>
                    <w:pStyle w:val="66"/>
                  </w:pPr>
                  <w:r>
                    <w:rPr>
                      <w:rFonts w:hint="eastAsia"/>
                    </w:rPr>
                    <w:t>定期交有相关危险废物处理资质单位处理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pct"/>
                  <w:tcBorders>
                    <w:top w:val="single" w:color="000000" w:sz="4" w:space="0"/>
                    <w:left w:val="single" w:color="000000" w:sz="4" w:space="0"/>
                    <w:right w:val="single" w:color="000000" w:sz="4" w:space="0"/>
                  </w:tcBorders>
                  <w:vAlign w:val="center"/>
                </w:tcPr>
                <w:p>
                  <w:pPr>
                    <w:pStyle w:val="66"/>
                  </w:pPr>
                  <w:r>
                    <w:rPr>
                      <w:rFonts w:hint="eastAsia"/>
                    </w:rPr>
                    <w:t>实验检测</w:t>
                  </w:r>
                </w:p>
              </w:tc>
              <w:tc>
                <w:tcPr>
                  <w:tcW w:w="996"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废试剂盒</w:t>
                  </w:r>
                </w:p>
              </w:tc>
              <w:tc>
                <w:tcPr>
                  <w:tcW w:w="770" w:type="pct"/>
                  <w:tcBorders>
                    <w:left w:val="single" w:color="000000" w:sz="4" w:space="0"/>
                    <w:right w:val="single" w:color="000000" w:sz="4" w:space="0"/>
                  </w:tcBorders>
                  <w:vAlign w:val="center"/>
                </w:tcPr>
                <w:p>
                  <w:pPr>
                    <w:pStyle w:val="66"/>
                  </w:pPr>
                  <w:r>
                    <w:rPr>
                      <w:rFonts w:hint="eastAsia"/>
                    </w:rPr>
                    <w:t>HW49其他废物</w:t>
                  </w:r>
                </w:p>
              </w:tc>
              <w:tc>
                <w:tcPr>
                  <w:tcW w:w="500" w:type="pct"/>
                  <w:tcBorders>
                    <w:left w:val="single" w:color="000000" w:sz="4" w:space="0"/>
                    <w:right w:val="single" w:color="000000" w:sz="4" w:space="0"/>
                  </w:tcBorders>
                  <w:vAlign w:val="center"/>
                </w:tcPr>
                <w:p>
                  <w:pPr>
                    <w:pStyle w:val="66"/>
                  </w:pPr>
                  <w:r>
                    <w:rPr>
                      <w:rFonts w:hint="eastAsia"/>
                    </w:rPr>
                    <w:t>/</w:t>
                  </w:r>
                </w:p>
              </w:tc>
              <w:tc>
                <w:tcPr>
                  <w:tcW w:w="321" w:type="pct"/>
                  <w:tcBorders>
                    <w:left w:val="single" w:color="000000" w:sz="4" w:space="0"/>
                    <w:right w:val="single" w:color="000000" w:sz="4" w:space="0"/>
                  </w:tcBorders>
                  <w:vAlign w:val="center"/>
                </w:tcPr>
                <w:p>
                  <w:pPr>
                    <w:pStyle w:val="66"/>
                  </w:pPr>
                  <w:r>
                    <w:rPr>
                      <w:rFonts w:hint="eastAsia"/>
                    </w:rPr>
                    <w:t>固体</w:t>
                  </w:r>
                </w:p>
              </w:tc>
              <w:tc>
                <w:tcPr>
                  <w:tcW w:w="473" w:type="pct"/>
                  <w:tcBorders>
                    <w:top w:val="single" w:color="000000" w:sz="4" w:space="0"/>
                    <w:left w:val="single" w:color="000000" w:sz="4" w:space="0"/>
                    <w:bottom w:val="single" w:color="000000" w:sz="4" w:space="0"/>
                    <w:right w:val="single" w:color="000000" w:sz="4" w:space="0"/>
                  </w:tcBorders>
                  <w:vAlign w:val="center"/>
                </w:tcPr>
                <w:p>
                  <w:pPr>
                    <w:pStyle w:val="66"/>
                    <w:rPr>
                      <w:lang w:eastAsia="zh-CN"/>
                    </w:rPr>
                  </w:pPr>
                  <w:r>
                    <w:rPr>
                      <w:rFonts w:hint="eastAsia"/>
                      <w:lang w:eastAsia="zh-CN"/>
                    </w:rPr>
                    <w:t>1</w:t>
                  </w:r>
                  <w:r>
                    <w:rPr>
                      <w:lang w:eastAsia="zh-CN"/>
                    </w:rPr>
                    <w:t>0.3</w:t>
                  </w:r>
                </w:p>
              </w:tc>
              <w:tc>
                <w:tcPr>
                  <w:tcW w:w="328" w:type="pct"/>
                  <w:tcBorders>
                    <w:top w:val="single" w:color="000000" w:sz="8" w:space="0"/>
                    <w:left w:val="single" w:color="000000" w:sz="4" w:space="0"/>
                    <w:right w:val="single" w:color="000000" w:sz="4" w:space="0"/>
                  </w:tcBorders>
                  <w:vAlign w:val="center"/>
                </w:tcPr>
                <w:p>
                  <w:pPr>
                    <w:pStyle w:val="66"/>
                  </w:pPr>
                  <w:r>
                    <w:rPr>
                      <w:rFonts w:hint="eastAsia"/>
                      <w:lang w:eastAsia="zh-CN"/>
                    </w:rPr>
                    <w:t>袋</w:t>
                  </w:r>
                  <w:r>
                    <w:rPr>
                      <w:rFonts w:hint="eastAsia"/>
                    </w:rPr>
                    <w:t>装</w:t>
                  </w:r>
                </w:p>
              </w:tc>
              <w:tc>
                <w:tcPr>
                  <w:tcW w:w="1099" w:type="pct"/>
                  <w:vMerge w:val="continue"/>
                  <w:tcBorders>
                    <w:left w:val="single" w:color="000000" w:sz="4" w:space="0"/>
                    <w:right w:val="single" w:color="000000" w:sz="4" w:space="0"/>
                  </w:tcBorders>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12"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实验检测</w:t>
                  </w:r>
                </w:p>
              </w:tc>
              <w:tc>
                <w:tcPr>
                  <w:tcW w:w="996"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废弃一次性实验用品</w:t>
                  </w:r>
                </w:p>
              </w:tc>
              <w:tc>
                <w:tcPr>
                  <w:tcW w:w="770" w:type="pct"/>
                  <w:tcBorders>
                    <w:left w:val="single" w:color="000000" w:sz="4" w:space="0"/>
                    <w:right w:val="single" w:color="000000" w:sz="4" w:space="0"/>
                  </w:tcBorders>
                  <w:vAlign w:val="center"/>
                </w:tcPr>
                <w:p>
                  <w:pPr>
                    <w:pStyle w:val="66"/>
                  </w:pPr>
                  <w:r>
                    <w:rPr>
                      <w:rFonts w:hint="eastAsia"/>
                    </w:rPr>
                    <w:t>HW01医疗废物</w:t>
                  </w:r>
                </w:p>
              </w:tc>
              <w:tc>
                <w:tcPr>
                  <w:tcW w:w="500" w:type="pct"/>
                  <w:tcBorders>
                    <w:left w:val="single" w:color="000000" w:sz="4" w:space="0"/>
                    <w:right w:val="single" w:color="000000" w:sz="4" w:space="0"/>
                  </w:tcBorders>
                  <w:vAlign w:val="center"/>
                </w:tcPr>
                <w:p>
                  <w:pPr>
                    <w:pStyle w:val="66"/>
                  </w:pPr>
                  <w:r>
                    <w:rPr>
                      <w:rFonts w:hint="eastAsia"/>
                    </w:rPr>
                    <w:t>/</w:t>
                  </w:r>
                </w:p>
              </w:tc>
              <w:tc>
                <w:tcPr>
                  <w:tcW w:w="321" w:type="pct"/>
                  <w:tcBorders>
                    <w:left w:val="single" w:color="000000" w:sz="4" w:space="0"/>
                    <w:right w:val="single" w:color="000000" w:sz="4" w:space="0"/>
                  </w:tcBorders>
                  <w:vAlign w:val="center"/>
                </w:tcPr>
                <w:p>
                  <w:pPr>
                    <w:pStyle w:val="66"/>
                  </w:pPr>
                  <w:r>
                    <w:rPr>
                      <w:rFonts w:hint="eastAsia"/>
                    </w:rPr>
                    <w:t>固体</w:t>
                  </w:r>
                </w:p>
              </w:tc>
              <w:tc>
                <w:tcPr>
                  <w:tcW w:w="473" w:type="pct"/>
                  <w:tcBorders>
                    <w:top w:val="single" w:color="000000" w:sz="4" w:space="0"/>
                    <w:left w:val="single" w:color="000000" w:sz="4" w:space="0"/>
                    <w:bottom w:val="single" w:color="000000" w:sz="4" w:space="0"/>
                    <w:right w:val="single" w:color="000000" w:sz="4" w:space="0"/>
                  </w:tcBorders>
                  <w:vAlign w:val="center"/>
                </w:tcPr>
                <w:p>
                  <w:pPr>
                    <w:pStyle w:val="66"/>
                    <w:rPr>
                      <w:lang w:eastAsia="zh-CN"/>
                    </w:rPr>
                  </w:pPr>
                  <w:r>
                    <w:rPr>
                      <w:rFonts w:hint="eastAsia"/>
                      <w:lang w:eastAsia="zh-CN"/>
                    </w:rPr>
                    <w:t>1</w:t>
                  </w:r>
                  <w:r>
                    <w:rPr>
                      <w:lang w:eastAsia="zh-CN"/>
                    </w:rPr>
                    <w:t>.46</w:t>
                  </w:r>
                </w:p>
              </w:tc>
              <w:tc>
                <w:tcPr>
                  <w:tcW w:w="328" w:type="pct"/>
                  <w:tcBorders>
                    <w:left w:val="single" w:color="000000" w:sz="4" w:space="0"/>
                    <w:right w:val="single" w:color="000000" w:sz="4" w:space="0"/>
                  </w:tcBorders>
                  <w:vAlign w:val="center"/>
                </w:tcPr>
                <w:p>
                  <w:pPr>
                    <w:pStyle w:val="66"/>
                  </w:pPr>
                  <w:r>
                    <w:rPr>
                      <w:rFonts w:hint="eastAsia"/>
                      <w:lang w:eastAsia="zh-CN"/>
                    </w:rPr>
                    <w:t>袋</w:t>
                  </w:r>
                  <w:r>
                    <w:rPr>
                      <w:rFonts w:hint="eastAsia"/>
                    </w:rPr>
                    <w:t>装</w:t>
                  </w:r>
                </w:p>
              </w:tc>
              <w:tc>
                <w:tcPr>
                  <w:tcW w:w="1099" w:type="pct"/>
                  <w:vMerge w:val="continue"/>
                  <w:tcBorders>
                    <w:left w:val="single" w:color="000000" w:sz="4" w:space="0"/>
                    <w:right w:val="single" w:color="000000" w:sz="4" w:space="0"/>
                  </w:tcBorders>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实验检测</w:t>
                  </w:r>
                </w:p>
              </w:tc>
              <w:tc>
                <w:tcPr>
                  <w:tcW w:w="996"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废弃防护服</w:t>
                  </w:r>
                </w:p>
              </w:tc>
              <w:tc>
                <w:tcPr>
                  <w:tcW w:w="770" w:type="pct"/>
                  <w:tcBorders>
                    <w:left w:val="single" w:color="000000" w:sz="4" w:space="0"/>
                    <w:right w:val="single" w:color="000000" w:sz="4" w:space="0"/>
                  </w:tcBorders>
                  <w:vAlign w:val="center"/>
                </w:tcPr>
                <w:p>
                  <w:pPr>
                    <w:pStyle w:val="66"/>
                  </w:pPr>
                  <w:r>
                    <w:rPr>
                      <w:rFonts w:hint="eastAsia"/>
                    </w:rPr>
                    <w:t>HW01医疗废物</w:t>
                  </w:r>
                </w:p>
              </w:tc>
              <w:tc>
                <w:tcPr>
                  <w:tcW w:w="500" w:type="pct"/>
                  <w:tcBorders>
                    <w:left w:val="single" w:color="000000" w:sz="4" w:space="0"/>
                    <w:right w:val="single" w:color="000000" w:sz="4" w:space="0"/>
                  </w:tcBorders>
                  <w:vAlign w:val="center"/>
                </w:tcPr>
                <w:p>
                  <w:pPr>
                    <w:pStyle w:val="66"/>
                  </w:pPr>
                  <w:r>
                    <w:rPr>
                      <w:rFonts w:hint="eastAsia"/>
                    </w:rPr>
                    <w:t>/</w:t>
                  </w:r>
                </w:p>
              </w:tc>
              <w:tc>
                <w:tcPr>
                  <w:tcW w:w="321" w:type="pct"/>
                  <w:tcBorders>
                    <w:left w:val="single" w:color="000000" w:sz="4" w:space="0"/>
                    <w:right w:val="single" w:color="000000" w:sz="4" w:space="0"/>
                  </w:tcBorders>
                  <w:vAlign w:val="center"/>
                </w:tcPr>
                <w:p>
                  <w:pPr>
                    <w:pStyle w:val="66"/>
                  </w:pPr>
                  <w:r>
                    <w:rPr>
                      <w:rFonts w:hint="eastAsia"/>
                    </w:rPr>
                    <w:t>固体</w:t>
                  </w:r>
                </w:p>
              </w:tc>
              <w:tc>
                <w:tcPr>
                  <w:tcW w:w="473" w:type="pct"/>
                  <w:tcBorders>
                    <w:top w:val="single" w:color="000000" w:sz="4" w:space="0"/>
                    <w:left w:val="single" w:color="000000" w:sz="4" w:space="0"/>
                    <w:bottom w:val="single" w:color="000000" w:sz="4" w:space="0"/>
                    <w:right w:val="single" w:color="000000" w:sz="4" w:space="0"/>
                  </w:tcBorders>
                  <w:vAlign w:val="center"/>
                </w:tcPr>
                <w:p>
                  <w:pPr>
                    <w:pStyle w:val="66"/>
                    <w:rPr>
                      <w:lang w:eastAsia="zh-CN"/>
                    </w:rPr>
                  </w:pPr>
                  <w:r>
                    <w:rPr>
                      <w:rFonts w:hint="eastAsia"/>
                      <w:lang w:eastAsia="zh-CN"/>
                    </w:rPr>
                    <w:t>1</w:t>
                  </w:r>
                  <w:r>
                    <w:rPr>
                      <w:lang w:eastAsia="zh-CN"/>
                    </w:rPr>
                    <w:t>.6425</w:t>
                  </w:r>
                </w:p>
              </w:tc>
              <w:tc>
                <w:tcPr>
                  <w:tcW w:w="328" w:type="pct"/>
                  <w:tcBorders>
                    <w:left w:val="single" w:color="000000" w:sz="4" w:space="0"/>
                    <w:right w:val="single" w:color="000000" w:sz="4" w:space="0"/>
                  </w:tcBorders>
                  <w:vAlign w:val="center"/>
                </w:tcPr>
                <w:p>
                  <w:pPr>
                    <w:pStyle w:val="66"/>
                  </w:pPr>
                  <w:r>
                    <w:rPr>
                      <w:rFonts w:hint="eastAsia"/>
                      <w:lang w:eastAsia="zh-CN"/>
                    </w:rPr>
                    <w:t>袋</w:t>
                  </w:r>
                  <w:r>
                    <w:rPr>
                      <w:rFonts w:hint="eastAsia"/>
                    </w:rPr>
                    <w:t>装</w:t>
                  </w:r>
                </w:p>
              </w:tc>
              <w:tc>
                <w:tcPr>
                  <w:tcW w:w="1099" w:type="pct"/>
                  <w:vMerge w:val="continue"/>
                  <w:tcBorders>
                    <w:left w:val="single" w:color="000000" w:sz="4" w:space="0"/>
                    <w:right w:val="single" w:color="000000" w:sz="4" w:space="0"/>
                  </w:tcBorders>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12"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生物安全柜过滤</w:t>
                  </w:r>
                  <w:r>
                    <w:rPr>
                      <w:rFonts w:hint="eastAsia"/>
                      <w:lang w:eastAsia="zh-CN"/>
                    </w:rPr>
                    <w:t>、废气处理</w:t>
                  </w:r>
                </w:p>
              </w:tc>
              <w:tc>
                <w:tcPr>
                  <w:tcW w:w="996" w:type="pct"/>
                  <w:tcBorders>
                    <w:top w:val="single" w:color="000000" w:sz="4" w:space="0"/>
                    <w:left w:val="single" w:color="000000" w:sz="4" w:space="0"/>
                    <w:bottom w:val="single" w:color="000000" w:sz="4" w:space="0"/>
                    <w:right w:val="single" w:color="000000" w:sz="4" w:space="0"/>
                  </w:tcBorders>
                  <w:vAlign w:val="center"/>
                </w:tcPr>
                <w:p>
                  <w:pPr>
                    <w:pStyle w:val="66"/>
                  </w:pPr>
                  <w:r>
                    <w:rPr>
                      <w:rFonts w:hint="eastAsia"/>
                    </w:rPr>
                    <w:t>废过滤器</w:t>
                  </w:r>
                </w:p>
              </w:tc>
              <w:tc>
                <w:tcPr>
                  <w:tcW w:w="770" w:type="pct"/>
                  <w:tcBorders>
                    <w:left w:val="single" w:color="000000" w:sz="4" w:space="0"/>
                    <w:bottom w:val="single" w:color="000000" w:sz="4" w:space="0"/>
                    <w:right w:val="single" w:color="000000" w:sz="4" w:space="0"/>
                  </w:tcBorders>
                  <w:vAlign w:val="center"/>
                </w:tcPr>
                <w:p>
                  <w:pPr>
                    <w:pStyle w:val="66"/>
                  </w:pPr>
                  <w:r>
                    <w:rPr>
                      <w:rFonts w:hint="eastAsia"/>
                    </w:rPr>
                    <w:t>HW49其他废物</w:t>
                  </w:r>
                </w:p>
              </w:tc>
              <w:tc>
                <w:tcPr>
                  <w:tcW w:w="500" w:type="pct"/>
                  <w:tcBorders>
                    <w:left w:val="single" w:color="000000" w:sz="4" w:space="0"/>
                    <w:bottom w:val="single" w:color="000000" w:sz="4" w:space="0"/>
                    <w:right w:val="single" w:color="000000" w:sz="4" w:space="0"/>
                  </w:tcBorders>
                  <w:vAlign w:val="center"/>
                </w:tcPr>
                <w:p>
                  <w:pPr>
                    <w:pStyle w:val="66"/>
                  </w:pPr>
                  <w:r>
                    <w:rPr>
                      <w:rFonts w:hint="eastAsia"/>
                    </w:rPr>
                    <w:t>/</w:t>
                  </w:r>
                </w:p>
              </w:tc>
              <w:tc>
                <w:tcPr>
                  <w:tcW w:w="321" w:type="pct"/>
                  <w:tcBorders>
                    <w:left w:val="single" w:color="000000" w:sz="4" w:space="0"/>
                    <w:bottom w:val="single" w:color="000000" w:sz="4" w:space="0"/>
                    <w:right w:val="single" w:color="000000" w:sz="4" w:space="0"/>
                  </w:tcBorders>
                  <w:vAlign w:val="center"/>
                </w:tcPr>
                <w:p>
                  <w:pPr>
                    <w:pStyle w:val="66"/>
                  </w:pPr>
                  <w:r>
                    <w:rPr>
                      <w:rFonts w:hint="eastAsia"/>
                    </w:rPr>
                    <w:t>固体</w:t>
                  </w:r>
                </w:p>
              </w:tc>
              <w:tc>
                <w:tcPr>
                  <w:tcW w:w="473" w:type="pct"/>
                  <w:tcBorders>
                    <w:top w:val="single" w:color="000000" w:sz="4" w:space="0"/>
                    <w:left w:val="single" w:color="000000" w:sz="4" w:space="0"/>
                    <w:bottom w:val="single" w:color="000000" w:sz="4" w:space="0"/>
                    <w:right w:val="single" w:color="000000" w:sz="4" w:space="0"/>
                  </w:tcBorders>
                  <w:vAlign w:val="center"/>
                </w:tcPr>
                <w:p>
                  <w:pPr>
                    <w:pStyle w:val="66"/>
                    <w:rPr>
                      <w:lang w:eastAsia="zh-CN"/>
                    </w:rPr>
                  </w:pPr>
                  <w:r>
                    <w:rPr>
                      <w:rFonts w:hint="eastAsia"/>
                      <w:lang w:eastAsia="zh-CN"/>
                    </w:rPr>
                    <w:t>0</w:t>
                  </w:r>
                  <w:r>
                    <w:rPr>
                      <w:lang w:eastAsia="zh-CN"/>
                    </w:rPr>
                    <w:t>.294</w:t>
                  </w:r>
                </w:p>
              </w:tc>
              <w:tc>
                <w:tcPr>
                  <w:tcW w:w="328" w:type="pct"/>
                  <w:tcBorders>
                    <w:left w:val="single" w:color="000000" w:sz="4" w:space="0"/>
                    <w:bottom w:val="single" w:color="000000" w:sz="4" w:space="0"/>
                    <w:right w:val="single" w:color="000000" w:sz="4" w:space="0"/>
                  </w:tcBorders>
                  <w:vAlign w:val="center"/>
                </w:tcPr>
                <w:p>
                  <w:pPr>
                    <w:pStyle w:val="66"/>
                  </w:pPr>
                  <w:r>
                    <w:rPr>
                      <w:rFonts w:hint="eastAsia"/>
                      <w:lang w:eastAsia="zh-CN"/>
                    </w:rPr>
                    <w:t>袋</w:t>
                  </w:r>
                  <w:r>
                    <w:rPr>
                      <w:rFonts w:hint="eastAsia"/>
                    </w:rPr>
                    <w:t>装</w:t>
                  </w:r>
                </w:p>
              </w:tc>
              <w:tc>
                <w:tcPr>
                  <w:tcW w:w="1099" w:type="pct"/>
                  <w:vMerge w:val="continue"/>
                  <w:tcBorders>
                    <w:left w:val="single" w:color="000000" w:sz="4" w:space="0"/>
                    <w:right w:val="single" w:color="000000" w:sz="4" w:space="0"/>
                  </w:tcBorders>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12" w:type="pct"/>
                  <w:tcBorders>
                    <w:top w:val="single" w:color="000000" w:sz="4" w:space="0"/>
                    <w:left w:val="single" w:color="000000" w:sz="4" w:space="0"/>
                    <w:bottom w:val="single" w:color="auto" w:sz="4" w:space="0"/>
                    <w:right w:val="single" w:color="000000" w:sz="4" w:space="0"/>
                  </w:tcBorders>
                  <w:vAlign w:val="center"/>
                </w:tcPr>
                <w:p>
                  <w:pPr>
                    <w:pStyle w:val="66"/>
                  </w:pPr>
                  <w:r>
                    <w:rPr>
                      <w:rFonts w:hint="eastAsia"/>
                    </w:rPr>
                    <w:t>实验检测</w:t>
                  </w:r>
                </w:p>
              </w:tc>
              <w:tc>
                <w:tcPr>
                  <w:tcW w:w="996" w:type="pct"/>
                  <w:tcBorders>
                    <w:top w:val="single" w:color="000000" w:sz="4" w:space="0"/>
                    <w:left w:val="single" w:color="000000" w:sz="4" w:space="0"/>
                    <w:bottom w:val="single" w:color="auto" w:sz="4" w:space="0"/>
                    <w:right w:val="single" w:color="000000" w:sz="4" w:space="0"/>
                  </w:tcBorders>
                  <w:vAlign w:val="center"/>
                </w:tcPr>
                <w:p>
                  <w:pPr>
                    <w:pStyle w:val="66"/>
                  </w:pPr>
                  <w:r>
                    <w:rPr>
                      <w:rFonts w:hint="eastAsia"/>
                    </w:rPr>
                    <w:t>废试剂瓶</w:t>
                  </w:r>
                </w:p>
              </w:tc>
              <w:tc>
                <w:tcPr>
                  <w:tcW w:w="770" w:type="pct"/>
                  <w:tcBorders>
                    <w:top w:val="single" w:color="000000" w:sz="4" w:space="0"/>
                    <w:left w:val="single" w:color="000000" w:sz="4" w:space="0"/>
                    <w:right w:val="single" w:color="000000" w:sz="4" w:space="0"/>
                  </w:tcBorders>
                  <w:vAlign w:val="center"/>
                </w:tcPr>
                <w:p>
                  <w:pPr>
                    <w:pStyle w:val="66"/>
                  </w:pPr>
                  <w:r>
                    <w:rPr>
                      <w:rFonts w:hint="eastAsia"/>
                    </w:rPr>
                    <w:t>HW49其他废物</w:t>
                  </w:r>
                </w:p>
              </w:tc>
              <w:tc>
                <w:tcPr>
                  <w:tcW w:w="500" w:type="pct"/>
                  <w:tcBorders>
                    <w:top w:val="single" w:color="000000" w:sz="4" w:space="0"/>
                    <w:left w:val="single" w:color="000000" w:sz="4" w:space="0"/>
                    <w:right w:val="single" w:color="000000" w:sz="4" w:space="0"/>
                  </w:tcBorders>
                  <w:vAlign w:val="center"/>
                </w:tcPr>
                <w:p>
                  <w:pPr>
                    <w:pStyle w:val="66"/>
                  </w:pPr>
                  <w:r>
                    <w:rPr>
                      <w:rFonts w:hint="eastAsia"/>
                    </w:rPr>
                    <w:t>/</w:t>
                  </w:r>
                </w:p>
              </w:tc>
              <w:tc>
                <w:tcPr>
                  <w:tcW w:w="321" w:type="pct"/>
                  <w:tcBorders>
                    <w:top w:val="single" w:color="000000" w:sz="4" w:space="0"/>
                    <w:left w:val="single" w:color="000000" w:sz="4" w:space="0"/>
                    <w:right w:val="single" w:color="000000" w:sz="4" w:space="0"/>
                  </w:tcBorders>
                  <w:vAlign w:val="center"/>
                </w:tcPr>
                <w:p>
                  <w:pPr>
                    <w:pStyle w:val="66"/>
                  </w:pPr>
                  <w:r>
                    <w:rPr>
                      <w:rFonts w:hint="eastAsia"/>
                    </w:rPr>
                    <w:t>固体</w:t>
                  </w:r>
                </w:p>
              </w:tc>
              <w:tc>
                <w:tcPr>
                  <w:tcW w:w="473" w:type="pct"/>
                  <w:tcBorders>
                    <w:top w:val="single" w:color="000000" w:sz="4" w:space="0"/>
                    <w:left w:val="single" w:color="000000" w:sz="4" w:space="0"/>
                    <w:bottom w:val="single" w:color="auto" w:sz="4" w:space="0"/>
                    <w:right w:val="single" w:color="000000" w:sz="4" w:space="0"/>
                  </w:tcBorders>
                  <w:vAlign w:val="center"/>
                </w:tcPr>
                <w:p>
                  <w:pPr>
                    <w:pStyle w:val="66"/>
                    <w:rPr>
                      <w:lang w:eastAsia="zh-CN"/>
                    </w:rPr>
                  </w:pPr>
                  <w:r>
                    <w:rPr>
                      <w:rFonts w:hint="eastAsia"/>
                      <w:lang w:eastAsia="zh-CN"/>
                    </w:rPr>
                    <w:t>0</w:t>
                  </w:r>
                  <w:r>
                    <w:rPr>
                      <w:lang w:eastAsia="zh-CN"/>
                    </w:rPr>
                    <w:t>.5</w:t>
                  </w:r>
                </w:p>
              </w:tc>
              <w:tc>
                <w:tcPr>
                  <w:tcW w:w="328" w:type="pct"/>
                  <w:tcBorders>
                    <w:top w:val="single" w:color="000000" w:sz="4" w:space="0"/>
                    <w:left w:val="single" w:color="000000" w:sz="4" w:space="0"/>
                    <w:right w:val="single" w:color="000000" w:sz="4" w:space="0"/>
                  </w:tcBorders>
                  <w:vAlign w:val="center"/>
                </w:tcPr>
                <w:p>
                  <w:pPr>
                    <w:pStyle w:val="66"/>
                  </w:pPr>
                  <w:r>
                    <w:rPr>
                      <w:rFonts w:hint="eastAsia"/>
                      <w:lang w:eastAsia="zh-CN"/>
                    </w:rPr>
                    <w:t>袋</w:t>
                  </w:r>
                  <w:r>
                    <w:rPr>
                      <w:rFonts w:hint="eastAsia"/>
                    </w:rPr>
                    <w:t>装</w:t>
                  </w:r>
                </w:p>
              </w:tc>
              <w:tc>
                <w:tcPr>
                  <w:tcW w:w="1099" w:type="pct"/>
                  <w:vMerge w:val="continue"/>
                  <w:tcBorders>
                    <w:left w:val="single" w:color="000000" w:sz="4" w:space="0"/>
                    <w:right w:val="single" w:color="000000" w:sz="4" w:space="0"/>
                  </w:tcBorders>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pct"/>
                  <w:tcBorders>
                    <w:top w:val="single" w:color="auto" w:sz="4" w:space="0"/>
                    <w:left w:val="single" w:color="000000" w:sz="4" w:space="0"/>
                    <w:bottom w:val="single" w:color="auto" w:sz="4" w:space="0"/>
                    <w:right w:val="single" w:color="000000" w:sz="4" w:space="0"/>
                  </w:tcBorders>
                  <w:vAlign w:val="center"/>
                </w:tcPr>
                <w:p>
                  <w:pPr>
                    <w:pStyle w:val="66"/>
                  </w:pPr>
                  <w:r>
                    <w:rPr>
                      <w:rFonts w:hint="eastAsia"/>
                    </w:rPr>
                    <w:t>废水处理</w:t>
                  </w:r>
                </w:p>
              </w:tc>
              <w:tc>
                <w:tcPr>
                  <w:tcW w:w="996" w:type="pct"/>
                  <w:tcBorders>
                    <w:top w:val="single" w:color="auto" w:sz="4" w:space="0"/>
                    <w:left w:val="single" w:color="000000" w:sz="4" w:space="0"/>
                    <w:bottom w:val="single" w:color="auto" w:sz="4" w:space="0"/>
                    <w:right w:val="single" w:color="000000" w:sz="4" w:space="0"/>
                  </w:tcBorders>
                  <w:vAlign w:val="center"/>
                </w:tcPr>
                <w:p>
                  <w:pPr>
                    <w:pStyle w:val="66"/>
                  </w:pPr>
                  <w:r>
                    <w:rPr>
                      <w:rFonts w:hint="eastAsia"/>
                    </w:rPr>
                    <w:t>污泥</w:t>
                  </w:r>
                </w:p>
              </w:tc>
              <w:tc>
                <w:tcPr>
                  <w:tcW w:w="770" w:type="pct"/>
                  <w:tcBorders>
                    <w:left w:val="single" w:color="000000" w:sz="4" w:space="0"/>
                    <w:right w:val="single" w:color="000000" w:sz="4" w:space="0"/>
                  </w:tcBorders>
                  <w:vAlign w:val="center"/>
                </w:tcPr>
                <w:p>
                  <w:pPr>
                    <w:pStyle w:val="66"/>
                  </w:pPr>
                  <w:r>
                    <w:rPr>
                      <w:rFonts w:hint="eastAsia"/>
                    </w:rPr>
                    <w:t>HW01医疗废物</w:t>
                  </w:r>
                </w:p>
              </w:tc>
              <w:tc>
                <w:tcPr>
                  <w:tcW w:w="500" w:type="pct"/>
                  <w:tcBorders>
                    <w:left w:val="single" w:color="000000" w:sz="4" w:space="0"/>
                    <w:right w:val="single" w:color="000000" w:sz="4" w:space="0"/>
                  </w:tcBorders>
                  <w:vAlign w:val="center"/>
                </w:tcPr>
                <w:p>
                  <w:pPr>
                    <w:pStyle w:val="66"/>
                  </w:pPr>
                  <w:r>
                    <w:rPr>
                      <w:rFonts w:hint="eastAsia"/>
                    </w:rPr>
                    <w:t>/</w:t>
                  </w:r>
                </w:p>
              </w:tc>
              <w:tc>
                <w:tcPr>
                  <w:tcW w:w="321" w:type="pct"/>
                  <w:tcBorders>
                    <w:left w:val="single" w:color="000000" w:sz="4" w:space="0"/>
                    <w:right w:val="single" w:color="000000" w:sz="4" w:space="0"/>
                  </w:tcBorders>
                  <w:vAlign w:val="center"/>
                </w:tcPr>
                <w:p>
                  <w:pPr>
                    <w:pStyle w:val="66"/>
                  </w:pPr>
                  <w:r>
                    <w:rPr>
                      <w:rFonts w:hint="eastAsia"/>
                    </w:rPr>
                    <w:t>固体</w:t>
                  </w:r>
                </w:p>
              </w:tc>
              <w:tc>
                <w:tcPr>
                  <w:tcW w:w="473" w:type="pct"/>
                  <w:tcBorders>
                    <w:top w:val="single" w:color="auto" w:sz="4" w:space="0"/>
                    <w:left w:val="single" w:color="000000" w:sz="4" w:space="0"/>
                    <w:bottom w:val="single" w:color="auto" w:sz="4" w:space="0"/>
                    <w:right w:val="single" w:color="000000" w:sz="4" w:space="0"/>
                  </w:tcBorders>
                  <w:vAlign w:val="center"/>
                </w:tcPr>
                <w:p>
                  <w:pPr>
                    <w:pStyle w:val="66"/>
                    <w:rPr>
                      <w:lang w:eastAsia="zh-CN"/>
                    </w:rPr>
                  </w:pPr>
                  <w:r>
                    <w:rPr>
                      <w:rFonts w:hint="eastAsia"/>
                    </w:rPr>
                    <w:t>0.</w:t>
                  </w:r>
                  <w:r>
                    <w:t>13</w:t>
                  </w:r>
                </w:p>
              </w:tc>
              <w:tc>
                <w:tcPr>
                  <w:tcW w:w="328" w:type="pct"/>
                  <w:tcBorders>
                    <w:left w:val="single" w:color="000000" w:sz="4" w:space="0"/>
                    <w:right w:val="single" w:color="000000" w:sz="4" w:space="0"/>
                  </w:tcBorders>
                  <w:vAlign w:val="center"/>
                </w:tcPr>
                <w:p>
                  <w:pPr>
                    <w:pStyle w:val="66"/>
                  </w:pPr>
                  <w:r>
                    <w:rPr>
                      <w:rFonts w:hint="eastAsia"/>
                      <w:lang w:eastAsia="zh-CN"/>
                    </w:rPr>
                    <w:t>袋</w:t>
                  </w:r>
                  <w:r>
                    <w:rPr>
                      <w:rFonts w:hint="eastAsia"/>
                    </w:rPr>
                    <w:t>装</w:t>
                  </w:r>
                </w:p>
              </w:tc>
              <w:tc>
                <w:tcPr>
                  <w:tcW w:w="1099" w:type="pct"/>
                  <w:vMerge w:val="continue"/>
                  <w:tcBorders>
                    <w:left w:val="single" w:color="000000" w:sz="4" w:space="0"/>
                    <w:right w:val="single" w:color="000000" w:sz="4" w:space="0"/>
                  </w:tcBorders>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12" w:type="pct"/>
                  <w:tcBorders>
                    <w:top w:val="single" w:color="auto" w:sz="4" w:space="0"/>
                    <w:left w:val="single" w:color="000000" w:sz="4" w:space="0"/>
                    <w:bottom w:val="single" w:color="auto" w:sz="4" w:space="0"/>
                    <w:right w:val="single" w:color="000000" w:sz="4" w:space="0"/>
                  </w:tcBorders>
                  <w:vAlign w:val="center"/>
                </w:tcPr>
                <w:p>
                  <w:pPr>
                    <w:pStyle w:val="66"/>
                  </w:pPr>
                  <w:r>
                    <w:rPr>
                      <w:rFonts w:hint="eastAsia"/>
                    </w:rPr>
                    <w:t>实验检测</w:t>
                  </w:r>
                </w:p>
              </w:tc>
              <w:tc>
                <w:tcPr>
                  <w:tcW w:w="996" w:type="pct"/>
                  <w:tcBorders>
                    <w:top w:val="single" w:color="auto" w:sz="4" w:space="0"/>
                    <w:left w:val="single" w:color="000000" w:sz="4" w:space="0"/>
                    <w:bottom w:val="single" w:color="auto" w:sz="4" w:space="0"/>
                    <w:right w:val="single" w:color="000000" w:sz="4" w:space="0"/>
                  </w:tcBorders>
                  <w:vAlign w:val="center"/>
                </w:tcPr>
                <w:p>
                  <w:pPr>
                    <w:pStyle w:val="66"/>
                  </w:pPr>
                  <w:r>
                    <w:rPr>
                      <w:rFonts w:hint="eastAsia"/>
                    </w:rPr>
                    <w:t>生化及免疫实验加样针清洗废液</w:t>
                  </w:r>
                </w:p>
              </w:tc>
              <w:tc>
                <w:tcPr>
                  <w:tcW w:w="770" w:type="pct"/>
                  <w:tcBorders>
                    <w:left w:val="single" w:color="000000" w:sz="4" w:space="0"/>
                    <w:right w:val="single" w:color="000000" w:sz="4" w:space="0"/>
                  </w:tcBorders>
                  <w:vAlign w:val="center"/>
                </w:tcPr>
                <w:p>
                  <w:pPr>
                    <w:pStyle w:val="66"/>
                  </w:pPr>
                  <w:r>
                    <w:rPr>
                      <w:lang w:val="en-US"/>
                    </w:rPr>
                    <w:t>HW03</w:t>
                  </w:r>
                  <w:r>
                    <w:rPr>
                      <w:rFonts w:hint="eastAsia"/>
                      <w:lang w:val="en-US"/>
                    </w:rPr>
                    <w:t>废药物、药品</w:t>
                  </w:r>
                </w:p>
              </w:tc>
              <w:tc>
                <w:tcPr>
                  <w:tcW w:w="500" w:type="pct"/>
                  <w:tcBorders>
                    <w:left w:val="single" w:color="000000" w:sz="4" w:space="0"/>
                    <w:right w:val="single" w:color="000000" w:sz="4" w:space="0"/>
                  </w:tcBorders>
                  <w:vAlign w:val="center"/>
                </w:tcPr>
                <w:p>
                  <w:pPr>
                    <w:pStyle w:val="66"/>
                  </w:pPr>
                  <w:r>
                    <w:rPr>
                      <w:rFonts w:hint="eastAsia"/>
                    </w:rPr>
                    <w:t>/</w:t>
                  </w:r>
                </w:p>
              </w:tc>
              <w:tc>
                <w:tcPr>
                  <w:tcW w:w="321" w:type="pct"/>
                  <w:tcBorders>
                    <w:left w:val="single" w:color="000000" w:sz="4" w:space="0"/>
                    <w:right w:val="single" w:color="000000" w:sz="4" w:space="0"/>
                  </w:tcBorders>
                  <w:vAlign w:val="center"/>
                </w:tcPr>
                <w:p>
                  <w:pPr>
                    <w:pStyle w:val="66"/>
                  </w:pPr>
                  <w:r>
                    <w:rPr>
                      <w:rFonts w:hint="eastAsia"/>
                    </w:rPr>
                    <w:t>液体</w:t>
                  </w:r>
                </w:p>
              </w:tc>
              <w:tc>
                <w:tcPr>
                  <w:tcW w:w="473" w:type="pct"/>
                  <w:tcBorders>
                    <w:top w:val="single" w:color="auto" w:sz="4" w:space="0"/>
                    <w:left w:val="single" w:color="000000" w:sz="4" w:space="0"/>
                    <w:bottom w:val="single" w:color="auto" w:sz="4" w:space="0"/>
                    <w:right w:val="single" w:color="000000" w:sz="4" w:space="0"/>
                  </w:tcBorders>
                  <w:vAlign w:val="center"/>
                </w:tcPr>
                <w:p>
                  <w:pPr>
                    <w:pStyle w:val="66"/>
                    <w:rPr>
                      <w:lang w:eastAsia="zh-CN"/>
                    </w:rPr>
                  </w:pPr>
                  <w:r>
                    <w:rPr>
                      <w:lang w:eastAsia="zh-CN"/>
                    </w:rPr>
                    <w:t>2</w:t>
                  </w:r>
                </w:p>
              </w:tc>
              <w:tc>
                <w:tcPr>
                  <w:tcW w:w="328" w:type="pct"/>
                  <w:tcBorders>
                    <w:left w:val="single" w:color="000000" w:sz="4" w:space="0"/>
                    <w:right w:val="single" w:color="000000" w:sz="4" w:space="0"/>
                  </w:tcBorders>
                  <w:vAlign w:val="center"/>
                </w:tcPr>
                <w:p>
                  <w:pPr>
                    <w:pStyle w:val="66"/>
                  </w:pPr>
                  <w:r>
                    <w:rPr>
                      <w:rFonts w:hint="eastAsia"/>
                    </w:rPr>
                    <w:t>桶装</w:t>
                  </w:r>
                </w:p>
              </w:tc>
              <w:tc>
                <w:tcPr>
                  <w:tcW w:w="1099" w:type="pct"/>
                  <w:vMerge w:val="continue"/>
                  <w:tcBorders>
                    <w:left w:val="single" w:color="000000" w:sz="4" w:space="0"/>
                    <w:right w:val="single" w:color="000000" w:sz="4" w:space="0"/>
                  </w:tcBorders>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pct"/>
                  <w:tcBorders>
                    <w:top w:val="single" w:color="auto" w:sz="4" w:space="0"/>
                    <w:left w:val="single" w:color="000000" w:sz="4" w:space="0"/>
                    <w:bottom w:val="single" w:color="auto" w:sz="4" w:space="0"/>
                    <w:right w:val="single" w:color="000000" w:sz="4" w:space="0"/>
                  </w:tcBorders>
                  <w:vAlign w:val="center"/>
                </w:tcPr>
                <w:p>
                  <w:pPr>
                    <w:pStyle w:val="66"/>
                    <w:rPr>
                      <w:lang w:eastAsia="zh-CN"/>
                    </w:rPr>
                  </w:pPr>
                  <w:r>
                    <w:rPr>
                      <w:rFonts w:hint="eastAsia"/>
                      <w:lang w:eastAsia="zh-CN"/>
                    </w:rPr>
                    <w:t>实验检测</w:t>
                  </w:r>
                </w:p>
              </w:tc>
              <w:tc>
                <w:tcPr>
                  <w:tcW w:w="996" w:type="pct"/>
                  <w:tcBorders>
                    <w:top w:val="single" w:color="auto" w:sz="4" w:space="0"/>
                    <w:left w:val="single" w:color="000000" w:sz="4" w:space="0"/>
                    <w:bottom w:val="single" w:color="auto" w:sz="4" w:space="0"/>
                    <w:right w:val="single" w:color="000000" w:sz="4" w:space="0"/>
                  </w:tcBorders>
                  <w:vAlign w:val="center"/>
                </w:tcPr>
                <w:p>
                  <w:pPr>
                    <w:pStyle w:val="66"/>
                  </w:pPr>
                  <w:r>
                    <w:rPr>
                      <w:rFonts w:hint="eastAsia"/>
                      <w:lang w:eastAsia="zh-CN"/>
                    </w:rPr>
                    <w:t>清洗废液</w:t>
                  </w:r>
                </w:p>
              </w:tc>
              <w:tc>
                <w:tcPr>
                  <w:tcW w:w="770" w:type="pct"/>
                  <w:tcBorders>
                    <w:left w:val="single" w:color="000000" w:sz="4" w:space="0"/>
                    <w:right w:val="single" w:color="000000" w:sz="4" w:space="0"/>
                  </w:tcBorders>
                  <w:vAlign w:val="center"/>
                </w:tcPr>
                <w:p>
                  <w:pPr>
                    <w:pStyle w:val="66"/>
                  </w:pPr>
                  <w:r>
                    <w:rPr>
                      <w:lang w:val="en-US"/>
                    </w:rPr>
                    <w:t>HW03</w:t>
                  </w:r>
                  <w:r>
                    <w:rPr>
                      <w:rFonts w:hint="eastAsia"/>
                      <w:lang w:val="en-US"/>
                    </w:rPr>
                    <w:t>废药物、药品</w:t>
                  </w:r>
                </w:p>
              </w:tc>
              <w:tc>
                <w:tcPr>
                  <w:tcW w:w="500" w:type="pct"/>
                  <w:tcBorders>
                    <w:left w:val="single" w:color="000000" w:sz="4" w:space="0"/>
                    <w:right w:val="single" w:color="000000" w:sz="4" w:space="0"/>
                  </w:tcBorders>
                  <w:vAlign w:val="center"/>
                </w:tcPr>
                <w:p>
                  <w:pPr>
                    <w:pStyle w:val="66"/>
                  </w:pPr>
                  <w:r>
                    <w:rPr>
                      <w:rFonts w:hint="eastAsia"/>
                    </w:rPr>
                    <w:t>/</w:t>
                  </w:r>
                </w:p>
              </w:tc>
              <w:tc>
                <w:tcPr>
                  <w:tcW w:w="321" w:type="pct"/>
                  <w:tcBorders>
                    <w:left w:val="single" w:color="000000" w:sz="4" w:space="0"/>
                    <w:right w:val="single" w:color="000000" w:sz="4" w:space="0"/>
                  </w:tcBorders>
                  <w:vAlign w:val="center"/>
                </w:tcPr>
                <w:p>
                  <w:pPr>
                    <w:pStyle w:val="66"/>
                  </w:pPr>
                  <w:r>
                    <w:rPr>
                      <w:rFonts w:hint="eastAsia"/>
                    </w:rPr>
                    <w:t>液体</w:t>
                  </w:r>
                </w:p>
              </w:tc>
              <w:tc>
                <w:tcPr>
                  <w:tcW w:w="473" w:type="pct"/>
                  <w:tcBorders>
                    <w:top w:val="single" w:color="auto" w:sz="4" w:space="0"/>
                    <w:left w:val="single" w:color="000000" w:sz="4" w:space="0"/>
                    <w:bottom w:val="single" w:color="auto" w:sz="4" w:space="0"/>
                    <w:right w:val="single" w:color="000000" w:sz="4" w:space="0"/>
                  </w:tcBorders>
                  <w:vAlign w:val="center"/>
                </w:tcPr>
                <w:p>
                  <w:pPr>
                    <w:pStyle w:val="66"/>
                    <w:rPr>
                      <w:lang w:eastAsia="zh-CN"/>
                    </w:rPr>
                  </w:pPr>
                  <w:r>
                    <w:rPr>
                      <w:lang w:eastAsia="zh-CN"/>
                    </w:rPr>
                    <w:t>182.5</w:t>
                  </w:r>
                </w:p>
              </w:tc>
              <w:tc>
                <w:tcPr>
                  <w:tcW w:w="328" w:type="pct"/>
                  <w:tcBorders>
                    <w:left w:val="single" w:color="000000" w:sz="4" w:space="0"/>
                    <w:right w:val="single" w:color="000000" w:sz="4" w:space="0"/>
                  </w:tcBorders>
                  <w:vAlign w:val="center"/>
                </w:tcPr>
                <w:p>
                  <w:pPr>
                    <w:pStyle w:val="66"/>
                  </w:pPr>
                  <w:r>
                    <w:rPr>
                      <w:rFonts w:hint="eastAsia"/>
                    </w:rPr>
                    <w:t>桶装</w:t>
                  </w:r>
                </w:p>
              </w:tc>
              <w:tc>
                <w:tcPr>
                  <w:tcW w:w="1099" w:type="pct"/>
                  <w:vMerge w:val="continue"/>
                  <w:tcBorders>
                    <w:left w:val="single" w:color="000000" w:sz="4" w:space="0"/>
                    <w:right w:val="single" w:color="000000" w:sz="4" w:space="0"/>
                  </w:tcBorders>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12" w:type="pct"/>
                  <w:tcBorders>
                    <w:top w:val="single" w:color="auto" w:sz="4" w:space="0"/>
                    <w:left w:val="single" w:color="000000" w:sz="4" w:space="0"/>
                    <w:bottom w:val="single" w:color="auto" w:sz="4" w:space="0"/>
                    <w:right w:val="single" w:color="000000" w:sz="4" w:space="0"/>
                  </w:tcBorders>
                  <w:vAlign w:val="center"/>
                </w:tcPr>
                <w:p>
                  <w:pPr>
                    <w:pStyle w:val="66"/>
                  </w:pPr>
                  <w:r>
                    <w:rPr>
                      <w:rFonts w:hint="eastAsia"/>
                    </w:rPr>
                    <w:t>消毒</w:t>
                  </w:r>
                </w:p>
              </w:tc>
              <w:tc>
                <w:tcPr>
                  <w:tcW w:w="996" w:type="pct"/>
                  <w:tcBorders>
                    <w:top w:val="single" w:color="auto" w:sz="4" w:space="0"/>
                    <w:left w:val="single" w:color="000000" w:sz="4" w:space="0"/>
                    <w:bottom w:val="single" w:color="auto" w:sz="4" w:space="0"/>
                    <w:right w:val="single" w:color="000000" w:sz="4" w:space="0"/>
                  </w:tcBorders>
                  <w:vAlign w:val="center"/>
                </w:tcPr>
                <w:p>
                  <w:pPr>
                    <w:pStyle w:val="66"/>
                  </w:pPr>
                  <w:r>
                    <w:rPr>
                      <w:rFonts w:hint="eastAsia"/>
                    </w:rPr>
                    <w:t>废紫外线灯管</w:t>
                  </w:r>
                </w:p>
              </w:tc>
              <w:tc>
                <w:tcPr>
                  <w:tcW w:w="770" w:type="pct"/>
                  <w:tcBorders>
                    <w:left w:val="single" w:color="000000" w:sz="4" w:space="0"/>
                    <w:right w:val="single" w:color="000000" w:sz="4" w:space="0"/>
                  </w:tcBorders>
                  <w:vAlign w:val="center"/>
                </w:tcPr>
                <w:p>
                  <w:pPr>
                    <w:pStyle w:val="66"/>
                  </w:pPr>
                  <w:r>
                    <w:rPr>
                      <w:rFonts w:hint="eastAsia"/>
                    </w:rPr>
                    <w:t>HW49其他废物</w:t>
                  </w:r>
                </w:p>
              </w:tc>
              <w:tc>
                <w:tcPr>
                  <w:tcW w:w="500" w:type="pct"/>
                  <w:tcBorders>
                    <w:left w:val="single" w:color="000000" w:sz="4" w:space="0"/>
                    <w:right w:val="single" w:color="000000" w:sz="4" w:space="0"/>
                  </w:tcBorders>
                  <w:vAlign w:val="center"/>
                </w:tcPr>
                <w:p>
                  <w:pPr>
                    <w:pStyle w:val="66"/>
                  </w:pPr>
                  <w:r>
                    <w:rPr>
                      <w:rFonts w:hint="eastAsia"/>
                    </w:rPr>
                    <w:t>/</w:t>
                  </w:r>
                </w:p>
              </w:tc>
              <w:tc>
                <w:tcPr>
                  <w:tcW w:w="321" w:type="pct"/>
                  <w:tcBorders>
                    <w:left w:val="single" w:color="000000" w:sz="4" w:space="0"/>
                    <w:right w:val="single" w:color="000000" w:sz="4" w:space="0"/>
                  </w:tcBorders>
                  <w:vAlign w:val="center"/>
                </w:tcPr>
                <w:p>
                  <w:pPr>
                    <w:pStyle w:val="66"/>
                  </w:pPr>
                  <w:r>
                    <w:rPr>
                      <w:rFonts w:hint="eastAsia"/>
                    </w:rPr>
                    <w:t>固体</w:t>
                  </w:r>
                </w:p>
              </w:tc>
              <w:tc>
                <w:tcPr>
                  <w:tcW w:w="473" w:type="pct"/>
                  <w:tcBorders>
                    <w:top w:val="single" w:color="auto" w:sz="4" w:space="0"/>
                    <w:left w:val="single" w:color="000000" w:sz="4" w:space="0"/>
                    <w:bottom w:val="single" w:color="auto" w:sz="4" w:space="0"/>
                    <w:right w:val="single" w:color="000000" w:sz="4" w:space="0"/>
                  </w:tcBorders>
                  <w:vAlign w:val="center"/>
                </w:tcPr>
                <w:p>
                  <w:pPr>
                    <w:pStyle w:val="66"/>
                    <w:rPr>
                      <w:lang w:eastAsia="zh-CN"/>
                    </w:rPr>
                  </w:pPr>
                  <w:r>
                    <w:rPr>
                      <w:rFonts w:hint="eastAsia"/>
                    </w:rPr>
                    <w:t>0.</w:t>
                  </w:r>
                  <w:r>
                    <w:t>1172</w:t>
                  </w:r>
                </w:p>
              </w:tc>
              <w:tc>
                <w:tcPr>
                  <w:tcW w:w="328" w:type="pct"/>
                  <w:tcBorders>
                    <w:left w:val="single" w:color="000000" w:sz="4" w:space="0"/>
                    <w:right w:val="single" w:color="000000" w:sz="4" w:space="0"/>
                  </w:tcBorders>
                  <w:vAlign w:val="center"/>
                </w:tcPr>
                <w:p>
                  <w:pPr>
                    <w:pStyle w:val="66"/>
                  </w:pPr>
                  <w:r>
                    <w:rPr>
                      <w:rFonts w:hint="eastAsia"/>
                      <w:lang w:eastAsia="zh-CN"/>
                    </w:rPr>
                    <w:t>箱装</w:t>
                  </w:r>
                </w:p>
              </w:tc>
              <w:tc>
                <w:tcPr>
                  <w:tcW w:w="1099" w:type="pct"/>
                  <w:vMerge w:val="continue"/>
                  <w:tcBorders>
                    <w:left w:val="single" w:color="000000" w:sz="4" w:space="0"/>
                    <w:right w:val="single" w:color="000000" w:sz="4" w:space="0"/>
                  </w:tcBorders>
                  <w:vAlign w:val="center"/>
                </w:tcPr>
                <w:p>
                  <w:pPr>
                    <w:pStyle w:val="6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12" w:type="pct"/>
                  <w:tcBorders>
                    <w:top w:val="single" w:color="auto" w:sz="4" w:space="0"/>
                    <w:left w:val="single" w:color="000000" w:sz="4" w:space="0"/>
                    <w:bottom w:val="single" w:color="auto" w:sz="4" w:space="0"/>
                    <w:right w:val="single" w:color="000000" w:sz="4" w:space="0"/>
                  </w:tcBorders>
                  <w:vAlign w:val="center"/>
                </w:tcPr>
                <w:p>
                  <w:pPr>
                    <w:pStyle w:val="66"/>
                  </w:pPr>
                  <w:r>
                    <w:rPr>
                      <w:rFonts w:hint="eastAsia"/>
                      <w:lang w:eastAsia="zh-CN"/>
                    </w:rPr>
                    <w:t>废气处理</w:t>
                  </w:r>
                </w:p>
              </w:tc>
              <w:tc>
                <w:tcPr>
                  <w:tcW w:w="996" w:type="pct"/>
                  <w:tcBorders>
                    <w:top w:val="single" w:color="auto" w:sz="4" w:space="0"/>
                    <w:left w:val="single" w:color="000000" w:sz="4" w:space="0"/>
                    <w:bottom w:val="single" w:color="auto" w:sz="4" w:space="0"/>
                    <w:right w:val="single" w:color="000000" w:sz="4" w:space="0"/>
                  </w:tcBorders>
                  <w:vAlign w:val="center"/>
                </w:tcPr>
                <w:p>
                  <w:pPr>
                    <w:pStyle w:val="66"/>
                  </w:pPr>
                  <w:r>
                    <w:rPr>
                      <w:rFonts w:hint="eastAsia"/>
                      <w:lang w:eastAsia="zh-CN"/>
                    </w:rPr>
                    <w:t>废活性炭</w:t>
                  </w:r>
                </w:p>
              </w:tc>
              <w:tc>
                <w:tcPr>
                  <w:tcW w:w="770" w:type="pct"/>
                  <w:tcBorders>
                    <w:left w:val="single" w:color="000000" w:sz="4" w:space="0"/>
                    <w:right w:val="single" w:color="000000" w:sz="4" w:space="0"/>
                  </w:tcBorders>
                  <w:vAlign w:val="center"/>
                </w:tcPr>
                <w:p>
                  <w:pPr>
                    <w:pStyle w:val="66"/>
                  </w:pPr>
                  <w:r>
                    <w:rPr>
                      <w:rFonts w:hint="eastAsia"/>
                    </w:rPr>
                    <w:t>HW49其他废物</w:t>
                  </w:r>
                </w:p>
              </w:tc>
              <w:tc>
                <w:tcPr>
                  <w:tcW w:w="500" w:type="pct"/>
                  <w:tcBorders>
                    <w:left w:val="single" w:color="000000" w:sz="4" w:space="0"/>
                    <w:right w:val="single" w:color="000000" w:sz="4" w:space="0"/>
                  </w:tcBorders>
                  <w:vAlign w:val="center"/>
                </w:tcPr>
                <w:p>
                  <w:pPr>
                    <w:pStyle w:val="66"/>
                    <w:rPr>
                      <w:lang w:eastAsia="zh-CN"/>
                    </w:rPr>
                  </w:pPr>
                  <w:r>
                    <w:rPr>
                      <w:rFonts w:hint="eastAsia"/>
                      <w:lang w:eastAsia="zh-CN"/>
                    </w:rPr>
                    <w:t>/</w:t>
                  </w:r>
                </w:p>
              </w:tc>
              <w:tc>
                <w:tcPr>
                  <w:tcW w:w="321" w:type="pct"/>
                  <w:tcBorders>
                    <w:left w:val="single" w:color="000000" w:sz="4" w:space="0"/>
                    <w:right w:val="single" w:color="000000" w:sz="4" w:space="0"/>
                  </w:tcBorders>
                  <w:vAlign w:val="center"/>
                </w:tcPr>
                <w:p>
                  <w:pPr>
                    <w:pStyle w:val="66"/>
                  </w:pPr>
                  <w:r>
                    <w:rPr>
                      <w:rFonts w:hint="eastAsia"/>
                      <w:lang w:eastAsia="zh-CN"/>
                    </w:rPr>
                    <w:t>固体</w:t>
                  </w:r>
                </w:p>
              </w:tc>
              <w:tc>
                <w:tcPr>
                  <w:tcW w:w="473" w:type="pct"/>
                  <w:tcBorders>
                    <w:top w:val="single" w:color="auto" w:sz="4" w:space="0"/>
                    <w:left w:val="single" w:color="000000" w:sz="4" w:space="0"/>
                    <w:bottom w:val="single" w:color="auto" w:sz="4" w:space="0"/>
                    <w:right w:val="single" w:color="000000" w:sz="4" w:space="0"/>
                  </w:tcBorders>
                  <w:vAlign w:val="center"/>
                </w:tcPr>
                <w:p>
                  <w:pPr>
                    <w:pStyle w:val="66"/>
                    <w:rPr>
                      <w:lang w:eastAsia="zh-CN"/>
                    </w:rPr>
                  </w:pPr>
                  <w:r>
                    <w:rPr>
                      <w:rFonts w:hint="eastAsia"/>
                      <w:lang w:eastAsia="zh-CN"/>
                    </w:rPr>
                    <w:t>0</w:t>
                  </w:r>
                  <w:r>
                    <w:rPr>
                      <w:lang w:eastAsia="zh-CN"/>
                    </w:rPr>
                    <w:t>.1225</w:t>
                  </w:r>
                </w:p>
              </w:tc>
              <w:tc>
                <w:tcPr>
                  <w:tcW w:w="328" w:type="pct"/>
                  <w:tcBorders>
                    <w:left w:val="single" w:color="000000" w:sz="4" w:space="0"/>
                    <w:right w:val="single" w:color="000000" w:sz="4" w:space="0"/>
                  </w:tcBorders>
                  <w:vAlign w:val="center"/>
                </w:tcPr>
                <w:p>
                  <w:pPr>
                    <w:pStyle w:val="66"/>
                    <w:rPr>
                      <w:lang w:eastAsia="zh-CN"/>
                    </w:rPr>
                  </w:pPr>
                  <w:r>
                    <w:rPr>
                      <w:rFonts w:hint="eastAsia"/>
                      <w:lang w:eastAsia="zh-CN"/>
                    </w:rPr>
                    <w:t>袋装</w:t>
                  </w:r>
                </w:p>
              </w:tc>
              <w:tc>
                <w:tcPr>
                  <w:tcW w:w="1099" w:type="pct"/>
                  <w:vMerge w:val="continue"/>
                  <w:tcBorders>
                    <w:left w:val="single" w:color="000000" w:sz="4" w:space="0"/>
                    <w:right w:val="single" w:color="000000" w:sz="4" w:space="0"/>
                  </w:tcBorders>
                  <w:vAlign w:val="center"/>
                </w:tcPr>
                <w:p>
                  <w:pPr>
                    <w:pStyle w:val="66"/>
                  </w:pPr>
                </w:p>
              </w:tc>
            </w:tr>
          </w:tbl>
          <w:p>
            <w:pPr>
              <w:pStyle w:val="56"/>
            </w:pPr>
          </w:p>
          <w:p>
            <w:pPr>
              <w:tabs>
                <w:tab w:val="left" w:pos="675"/>
              </w:tabs>
              <w:ind w:firstLine="480"/>
              <w:rPr>
                <w:lang w:val="zh-CN"/>
              </w:rPr>
            </w:pPr>
            <w:r>
              <w:rPr>
                <w:rFonts w:hint="eastAsia"/>
                <w:lang w:val="zh-CN"/>
              </w:rPr>
              <w:t>项目危险废物产生及处置情况见下表。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22</w:t>
            </w:r>
            <w:r>
              <w:fldChar w:fldCharType="end"/>
            </w:r>
            <w:r>
              <w:rPr>
                <w:rFonts w:hint="eastAsia"/>
              </w:rPr>
              <w:t>项目危险废物产生及处置情况一览表</w:t>
            </w:r>
          </w:p>
          <w:tbl>
            <w:tblPr>
              <w:tblStyle w:val="36"/>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9"/>
              <w:gridCol w:w="1695"/>
              <w:gridCol w:w="1283"/>
              <w:gridCol w:w="807"/>
              <w:gridCol w:w="1192"/>
              <w:gridCol w:w="702"/>
              <w:gridCol w:w="807"/>
              <w:gridCol w:w="843"/>
              <w:gridCol w:w="1032"/>
              <w:gridCol w:w="886"/>
              <w:gridCol w:w="1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vAlign w:val="center"/>
                </w:tcPr>
                <w:p>
                  <w:pPr>
                    <w:pStyle w:val="66"/>
                    <w:spacing w:before="24" w:after="24"/>
                  </w:pPr>
                  <w:r>
                    <w:t>危险废物名称</w:t>
                  </w:r>
                </w:p>
              </w:tc>
              <w:tc>
                <w:tcPr>
                  <w:tcW w:w="708" w:type="pct"/>
                  <w:vAlign w:val="center"/>
                </w:tcPr>
                <w:p>
                  <w:pPr>
                    <w:pStyle w:val="66"/>
                    <w:spacing w:before="24" w:after="24"/>
                  </w:pPr>
                  <w:r>
                    <w:t>危险废物类别</w:t>
                  </w:r>
                </w:p>
              </w:tc>
              <w:tc>
                <w:tcPr>
                  <w:tcW w:w="536" w:type="pct"/>
                  <w:vAlign w:val="center"/>
                </w:tcPr>
                <w:p>
                  <w:pPr>
                    <w:pStyle w:val="66"/>
                    <w:spacing w:before="24" w:after="24"/>
                  </w:pPr>
                  <w:r>
                    <w:t>危险废物代码</w:t>
                  </w:r>
                </w:p>
              </w:tc>
              <w:tc>
                <w:tcPr>
                  <w:tcW w:w="337" w:type="pct"/>
                  <w:vAlign w:val="center"/>
                </w:tcPr>
                <w:p>
                  <w:pPr>
                    <w:pStyle w:val="66"/>
                    <w:spacing w:before="24" w:after="24"/>
                  </w:pPr>
                  <w:r>
                    <w:t>产生量t/a</w:t>
                  </w:r>
                </w:p>
              </w:tc>
              <w:tc>
                <w:tcPr>
                  <w:tcW w:w="498" w:type="pct"/>
                  <w:vAlign w:val="center"/>
                </w:tcPr>
                <w:p>
                  <w:pPr>
                    <w:pStyle w:val="66"/>
                    <w:spacing w:before="24" w:after="24"/>
                  </w:pPr>
                  <w:r>
                    <w:t>产生工序及装置</w:t>
                  </w:r>
                </w:p>
              </w:tc>
              <w:tc>
                <w:tcPr>
                  <w:tcW w:w="293" w:type="pct"/>
                  <w:vAlign w:val="center"/>
                </w:tcPr>
                <w:p>
                  <w:pPr>
                    <w:pStyle w:val="66"/>
                    <w:spacing w:before="24" w:after="24"/>
                  </w:pPr>
                  <w:r>
                    <w:t>形态</w:t>
                  </w:r>
                </w:p>
              </w:tc>
              <w:tc>
                <w:tcPr>
                  <w:tcW w:w="337" w:type="pct"/>
                  <w:vAlign w:val="center"/>
                </w:tcPr>
                <w:p>
                  <w:pPr>
                    <w:pStyle w:val="66"/>
                    <w:spacing w:before="24" w:after="24"/>
                  </w:pPr>
                  <w:r>
                    <w:t>主要成分</w:t>
                  </w:r>
                </w:p>
              </w:tc>
              <w:tc>
                <w:tcPr>
                  <w:tcW w:w="352" w:type="pct"/>
                  <w:vAlign w:val="center"/>
                </w:tcPr>
                <w:p>
                  <w:pPr>
                    <w:pStyle w:val="66"/>
                    <w:spacing w:before="24" w:after="24"/>
                  </w:pPr>
                  <w:r>
                    <w:t>有害成分</w:t>
                  </w:r>
                </w:p>
              </w:tc>
              <w:tc>
                <w:tcPr>
                  <w:tcW w:w="431" w:type="pct"/>
                  <w:vAlign w:val="center"/>
                </w:tcPr>
                <w:p>
                  <w:pPr>
                    <w:pStyle w:val="66"/>
                    <w:spacing w:before="24" w:after="24"/>
                  </w:pPr>
                  <w:r>
                    <w:t>产废周期</w:t>
                  </w:r>
                </w:p>
              </w:tc>
              <w:tc>
                <w:tcPr>
                  <w:tcW w:w="370" w:type="pct"/>
                  <w:vAlign w:val="center"/>
                </w:tcPr>
                <w:p>
                  <w:pPr>
                    <w:pStyle w:val="66"/>
                    <w:spacing w:before="24" w:after="24"/>
                  </w:pPr>
                  <w:r>
                    <w:t>危废特性</w:t>
                  </w:r>
                </w:p>
              </w:tc>
              <w:tc>
                <w:tcPr>
                  <w:tcW w:w="448" w:type="pct"/>
                  <w:vAlign w:val="center"/>
                </w:tcPr>
                <w:p>
                  <w:pPr>
                    <w:pStyle w:val="66"/>
                    <w:spacing w:before="24" w:after="24"/>
                  </w:pPr>
                  <w: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vAlign w:val="center"/>
                </w:tcPr>
                <w:p>
                  <w:pPr>
                    <w:pStyle w:val="308"/>
                  </w:pPr>
                  <w:r>
                    <w:rPr>
                      <w:rFonts w:hint="eastAsia"/>
                      <w:lang w:val="en-US"/>
                    </w:rPr>
                    <w:t>废样本及检测废液</w:t>
                  </w:r>
                </w:p>
              </w:tc>
              <w:tc>
                <w:tcPr>
                  <w:tcW w:w="708" w:type="pct"/>
                  <w:vAlign w:val="center"/>
                </w:tcPr>
                <w:p>
                  <w:pPr>
                    <w:pStyle w:val="308"/>
                  </w:pPr>
                  <w:r>
                    <w:rPr>
                      <w:rFonts w:hint="eastAsia"/>
                      <w:lang w:val="en-US"/>
                    </w:rPr>
                    <w:t>HW01医疗废物</w:t>
                  </w:r>
                </w:p>
              </w:tc>
              <w:tc>
                <w:tcPr>
                  <w:tcW w:w="536" w:type="pct"/>
                  <w:vAlign w:val="center"/>
                </w:tcPr>
                <w:p>
                  <w:pPr>
                    <w:pStyle w:val="66"/>
                    <w:spacing w:before="24" w:after="24"/>
                  </w:pPr>
                  <w:r>
                    <w:rPr>
                      <w:rFonts w:hint="eastAsia"/>
                    </w:rPr>
                    <w:t>841-001-01</w:t>
                  </w:r>
                </w:p>
              </w:tc>
              <w:tc>
                <w:tcPr>
                  <w:tcW w:w="337" w:type="pct"/>
                  <w:vAlign w:val="center"/>
                </w:tcPr>
                <w:p>
                  <w:pPr>
                    <w:pStyle w:val="66"/>
                    <w:rPr>
                      <w:lang w:eastAsia="zh-CN"/>
                    </w:rPr>
                  </w:pPr>
                  <w:r>
                    <w:rPr>
                      <w:rFonts w:hint="eastAsia"/>
                      <w:lang w:eastAsia="zh-CN"/>
                    </w:rPr>
                    <w:t>1</w:t>
                  </w:r>
                  <w:r>
                    <w:rPr>
                      <w:lang w:eastAsia="zh-CN"/>
                    </w:rPr>
                    <w:t>3.6</w:t>
                  </w:r>
                </w:p>
              </w:tc>
              <w:tc>
                <w:tcPr>
                  <w:tcW w:w="498" w:type="pct"/>
                  <w:vAlign w:val="center"/>
                </w:tcPr>
                <w:p>
                  <w:pPr>
                    <w:pStyle w:val="308"/>
                    <w:rPr>
                      <w:lang w:val="en-US"/>
                    </w:rPr>
                  </w:pPr>
                  <w:r>
                    <w:rPr>
                      <w:rFonts w:hint="eastAsia"/>
                      <w:lang w:val="en-US"/>
                    </w:rPr>
                    <w:t>实验检测</w:t>
                  </w:r>
                </w:p>
              </w:tc>
              <w:tc>
                <w:tcPr>
                  <w:tcW w:w="293" w:type="pct"/>
                  <w:vAlign w:val="center"/>
                </w:tcPr>
                <w:p>
                  <w:pPr>
                    <w:pStyle w:val="308"/>
                  </w:pPr>
                  <w:r>
                    <w:rPr>
                      <w:rFonts w:hint="eastAsia"/>
                      <w:lang w:val="en-US"/>
                    </w:rPr>
                    <w:t>液体</w:t>
                  </w:r>
                </w:p>
              </w:tc>
              <w:tc>
                <w:tcPr>
                  <w:tcW w:w="337" w:type="pct"/>
                  <w:vAlign w:val="center"/>
                </w:tcPr>
                <w:p>
                  <w:pPr>
                    <w:pStyle w:val="66"/>
                    <w:spacing w:before="24" w:after="24"/>
                  </w:pPr>
                  <w:r>
                    <w:rPr>
                      <w:rFonts w:hint="eastAsia"/>
                    </w:rPr>
                    <w:t>/</w:t>
                  </w:r>
                </w:p>
              </w:tc>
              <w:tc>
                <w:tcPr>
                  <w:tcW w:w="352" w:type="pct"/>
                  <w:vAlign w:val="center"/>
                </w:tcPr>
                <w:p>
                  <w:pPr>
                    <w:pStyle w:val="66"/>
                    <w:spacing w:before="24" w:after="24"/>
                  </w:pPr>
                  <w:r>
                    <w:rPr>
                      <w:rFonts w:hint="eastAsia"/>
                    </w:rPr>
                    <w:t>/</w:t>
                  </w:r>
                </w:p>
              </w:tc>
              <w:tc>
                <w:tcPr>
                  <w:tcW w:w="431" w:type="pct"/>
                  <w:vAlign w:val="center"/>
                </w:tcPr>
                <w:p>
                  <w:pPr>
                    <w:pStyle w:val="66"/>
                    <w:spacing w:before="24" w:after="24"/>
                  </w:pPr>
                  <w:r>
                    <w:rPr>
                      <w:rFonts w:hint="eastAsia"/>
                    </w:rPr>
                    <w:t>1天</w:t>
                  </w:r>
                </w:p>
              </w:tc>
              <w:tc>
                <w:tcPr>
                  <w:tcW w:w="370" w:type="pct"/>
                  <w:vAlign w:val="center"/>
                </w:tcPr>
                <w:p>
                  <w:pPr>
                    <w:pStyle w:val="66"/>
                    <w:spacing w:before="24" w:after="24"/>
                  </w:pPr>
                  <w:r>
                    <w:rPr>
                      <w:rFonts w:hint="eastAsia"/>
                    </w:rPr>
                    <w:t>In</w:t>
                  </w:r>
                </w:p>
              </w:tc>
              <w:tc>
                <w:tcPr>
                  <w:tcW w:w="448" w:type="pct"/>
                  <w:vMerge w:val="restart"/>
                  <w:vAlign w:val="center"/>
                </w:tcPr>
                <w:p>
                  <w:pPr>
                    <w:pStyle w:val="66"/>
                    <w:spacing w:before="24" w:after="24"/>
                  </w:pPr>
                  <w:r>
                    <w:rPr>
                      <w:rFonts w:hint="eastAsia"/>
                    </w:rPr>
                    <w:t>定期交有相关危险废物处理资质单位处理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vAlign w:val="center"/>
                </w:tcPr>
                <w:p>
                  <w:pPr>
                    <w:pStyle w:val="308"/>
                  </w:pPr>
                  <w:r>
                    <w:rPr>
                      <w:rFonts w:hint="eastAsia"/>
                      <w:lang w:val="en-US"/>
                    </w:rPr>
                    <w:t>废试剂盒</w:t>
                  </w:r>
                </w:p>
              </w:tc>
              <w:tc>
                <w:tcPr>
                  <w:tcW w:w="708" w:type="pct"/>
                  <w:vAlign w:val="center"/>
                </w:tcPr>
                <w:p>
                  <w:pPr>
                    <w:pStyle w:val="308"/>
                  </w:pPr>
                  <w:r>
                    <w:rPr>
                      <w:rFonts w:hint="eastAsia"/>
                      <w:lang w:val="en-US"/>
                    </w:rPr>
                    <w:t>HW49其他废物</w:t>
                  </w:r>
                </w:p>
              </w:tc>
              <w:tc>
                <w:tcPr>
                  <w:tcW w:w="536" w:type="pct"/>
                  <w:vAlign w:val="center"/>
                </w:tcPr>
                <w:p>
                  <w:pPr>
                    <w:pStyle w:val="66"/>
                    <w:spacing w:before="24" w:after="24"/>
                  </w:pPr>
                  <w:r>
                    <w:rPr>
                      <w:rFonts w:hint="eastAsia"/>
                    </w:rPr>
                    <w:t>900-047-49</w:t>
                  </w:r>
                </w:p>
              </w:tc>
              <w:tc>
                <w:tcPr>
                  <w:tcW w:w="337" w:type="pct"/>
                  <w:vAlign w:val="center"/>
                </w:tcPr>
                <w:p>
                  <w:pPr>
                    <w:pStyle w:val="66"/>
                    <w:rPr>
                      <w:lang w:eastAsia="zh-CN"/>
                    </w:rPr>
                  </w:pPr>
                  <w:r>
                    <w:rPr>
                      <w:rFonts w:hint="eastAsia"/>
                      <w:lang w:eastAsia="zh-CN"/>
                    </w:rPr>
                    <w:t>1</w:t>
                  </w:r>
                  <w:r>
                    <w:rPr>
                      <w:lang w:eastAsia="zh-CN"/>
                    </w:rPr>
                    <w:t>0.3</w:t>
                  </w:r>
                </w:p>
              </w:tc>
              <w:tc>
                <w:tcPr>
                  <w:tcW w:w="498" w:type="pct"/>
                  <w:vAlign w:val="center"/>
                </w:tcPr>
                <w:p>
                  <w:pPr>
                    <w:pStyle w:val="308"/>
                  </w:pPr>
                  <w:r>
                    <w:rPr>
                      <w:rFonts w:hint="eastAsia"/>
                      <w:lang w:val="en-US"/>
                    </w:rPr>
                    <w:t>实验检测</w:t>
                  </w:r>
                </w:p>
              </w:tc>
              <w:tc>
                <w:tcPr>
                  <w:tcW w:w="293" w:type="pct"/>
                  <w:vAlign w:val="center"/>
                </w:tcPr>
                <w:p>
                  <w:pPr>
                    <w:pStyle w:val="308"/>
                  </w:pPr>
                  <w:r>
                    <w:rPr>
                      <w:rFonts w:hint="eastAsia"/>
                      <w:lang w:val="en-US"/>
                    </w:rPr>
                    <w:t>固体</w:t>
                  </w:r>
                </w:p>
              </w:tc>
              <w:tc>
                <w:tcPr>
                  <w:tcW w:w="337" w:type="pct"/>
                  <w:vAlign w:val="center"/>
                </w:tcPr>
                <w:p>
                  <w:pPr>
                    <w:pStyle w:val="66"/>
                    <w:spacing w:before="24" w:after="24"/>
                  </w:pPr>
                  <w:r>
                    <w:rPr>
                      <w:rFonts w:hint="eastAsia"/>
                    </w:rPr>
                    <w:t>/</w:t>
                  </w:r>
                </w:p>
              </w:tc>
              <w:tc>
                <w:tcPr>
                  <w:tcW w:w="352" w:type="pct"/>
                  <w:vAlign w:val="center"/>
                </w:tcPr>
                <w:p>
                  <w:pPr>
                    <w:pStyle w:val="66"/>
                    <w:spacing w:before="24" w:after="24"/>
                  </w:pPr>
                  <w:r>
                    <w:rPr>
                      <w:rFonts w:hint="eastAsia"/>
                    </w:rPr>
                    <w:t>/</w:t>
                  </w:r>
                </w:p>
              </w:tc>
              <w:tc>
                <w:tcPr>
                  <w:tcW w:w="431" w:type="pct"/>
                  <w:vAlign w:val="center"/>
                </w:tcPr>
                <w:p>
                  <w:pPr>
                    <w:pStyle w:val="66"/>
                    <w:spacing w:before="24" w:after="24"/>
                  </w:pPr>
                  <w:r>
                    <w:rPr>
                      <w:rFonts w:hint="eastAsia"/>
                    </w:rPr>
                    <w:t>1天</w:t>
                  </w:r>
                </w:p>
              </w:tc>
              <w:tc>
                <w:tcPr>
                  <w:tcW w:w="370" w:type="pct"/>
                  <w:vAlign w:val="center"/>
                </w:tcPr>
                <w:p>
                  <w:pPr>
                    <w:pStyle w:val="66"/>
                    <w:spacing w:before="24" w:after="24"/>
                  </w:pPr>
                  <w:r>
                    <w:rPr>
                      <w:rFonts w:hint="eastAsia"/>
                    </w:rPr>
                    <w:t>T/C/I/R</w:t>
                  </w:r>
                </w:p>
              </w:tc>
              <w:tc>
                <w:tcPr>
                  <w:tcW w:w="448"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vAlign w:val="center"/>
                </w:tcPr>
                <w:p>
                  <w:pPr>
                    <w:pStyle w:val="308"/>
                  </w:pPr>
                  <w:r>
                    <w:rPr>
                      <w:rFonts w:hint="eastAsia"/>
                    </w:rPr>
                    <w:t>废弃一次性实验用品</w:t>
                  </w:r>
                </w:p>
              </w:tc>
              <w:tc>
                <w:tcPr>
                  <w:tcW w:w="708" w:type="pct"/>
                  <w:vAlign w:val="center"/>
                </w:tcPr>
                <w:p>
                  <w:pPr>
                    <w:pStyle w:val="308"/>
                  </w:pPr>
                  <w:r>
                    <w:rPr>
                      <w:rFonts w:hint="eastAsia"/>
                      <w:lang w:val="en-US"/>
                    </w:rPr>
                    <w:t>HW01医疗废物</w:t>
                  </w:r>
                </w:p>
              </w:tc>
              <w:tc>
                <w:tcPr>
                  <w:tcW w:w="536" w:type="pct"/>
                  <w:vAlign w:val="center"/>
                </w:tcPr>
                <w:p>
                  <w:pPr>
                    <w:pStyle w:val="66"/>
                    <w:spacing w:before="24" w:after="24"/>
                  </w:pPr>
                  <w:r>
                    <w:t>841-</w:t>
                  </w:r>
                  <w:r>
                    <w:rPr>
                      <w:rFonts w:hint="eastAsia"/>
                    </w:rPr>
                    <w:t>0</w:t>
                  </w:r>
                  <w:r>
                    <w:t>0</w:t>
                  </w:r>
                  <w:r>
                    <w:rPr>
                      <w:rFonts w:hint="eastAsia"/>
                    </w:rPr>
                    <w:t>1</w:t>
                  </w:r>
                  <w:r>
                    <w:t>-01</w:t>
                  </w:r>
                </w:p>
              </w:tc>
              <w:tc>
                <w:tcPr>
                  <w:tcW w:w="337" w:type="pct"/>
                  <w:vAlign w:val="center"/>
                </w:tcPr>
                <w:p>
                  <w:pPr>
                    <w:pStyle w:val="66"/>
                    <w:rPr>
                      <w:lang w:eastAsia="zh-CN"/>
                    </w:rPr>
                  </w:pPr>
                  <w:r>
                    <w:rPr>
                      <w:rFonts w:hint="eastAsia"/>
                      <w:lang w:eastAsia="zh-CN"/>
                    </w:rPr>
                    <w:t>1</w:t>
                  </w:r>
                  <w:r>
                    <w:rPr>
                      <w:lang w:eastAsia="zh-CN"/>
                    </w:rPr>
                    <w:t>.46</w:t>
                  </w:r>
                </w:p>
              </w:tc>
              <w:tc>
                <w:tcPr>
                  <w:tcW w:w="498" w:type="pct"/>
                  <w:vAlign w:val="center"/>
                </w:tcPr>
                <w:p>
                  <w:pPr>
                    <w:pStyle w:val="308"/>
                  </w:pPr>
                  <w:r>
                    <w:rPr>
                      <w:rFonts w:hint="eastAsia"/>
                      <w:lang w:val="en-US"/>
                    </w:rPr>
                    <w:t>实验检测</w:t>
                  </w:r>
                </w:p>
              </w:tc>
              <w:tc>
                <w:tcPr>
                  <w:tcW w:w="293" w:type="pct"/>
                  <w:vAlign w:val="center"/>
                </w:tcPr>
                <w:p>
                  <w:pPr>
                    <w:pStyle w:val="308"/>
                  </w:pPr>
                  <w:r>
                    <w:rPr>
                      <w:rFonts w:hint="eastAsia"/>
                      <w:lang w:val="en-US"/>
                    </w:rPr>
                    <w:t>固体</w:t>
                  </w:r>
                </w:p>
              </w:tc>
              <w:tc>
                <w:tcPr>
                  <w:tcW w:w="337" w:type="pct"/>
                  <w:vAlign w:val="center"/>
                </w:tcPr>
                <w:p>
                  <w:pPr>
                    <w:pStyle w:val="66"/>
                    <w:spacing w:before="24" w:after="24"/>
                  </w:pPr>
                  <w:r>
                    <w:rPr>
                      <w:rFonts w:hint="eastAsia"/>
                    </w:rPr>
                    <w:t>/</w:t>
                  </w:r>
                </w:p>
              </w:tc>
              <w:tc>
                <w:tcPr>
                  <w:tcW w:w="352" w:type="pct"/>
                  <w:vAlign w:val="center"/>
                </w:tcPr>
                <w:p>
                  <w:pPr>
                    <w:pStyle w:val="66"/>
                    <w:spacing w:before="24" w:after="24"/>
                  </w:pPr>
                  <w:r>
                    <w:rPr>
                      <w:rFonts w:hint="eastAsia"/>
                    </w:rPr>
                    <w:t>/</w:t>
                  </w:r>
                </w:p>
              </w:tc>
              <w:tc>
                <w:tcPr>
                  <w:tcW w:w="431" w:type="pct"/>
                  <w:vAlign w:val="center"/>
                </w:tcPr>
                <w:p>
                  <w:pPr>
                    <w:pStyle w:val="66"/>
                    <w:spacing w:before="24" w:after="24"/>
                  </w:pPr>
                  <w:r>
                    <w:rPr>
                      <w:rFonts w:hint="eastAsia"/>
                    </w:rPr>
                    <w:t>1天</w:t>
                  </w:r>
                </w:p>
              </w:tc>
              <w:tc>
                <w:tcPr>
                  <w:tcW w:w="370" w:type="pct"/>
                  <w:vAlign w:val="center"/>
                </w:tcPr>
                <w:p>
                  <w:pPr>
                    <w:pStyle w:val="66"/>
                    <w:spacing w:before="24" w:after="24"/>
                  </w:pPr>
                  <w:r>
                    <w:rPr>
                      <w:rFonts w:hint="eastAsia"/>
                    </w:rPr>
                    <w:t>In</w:t>
                  </w:r>
                </w:p>
              </w:tc>
              <w:tc>
                <w:tcPr>
                  <w:tcW w:w="448"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vAlign w:val="center"/>
                </w:tcPr>
                <w:p>
                  <w:pPr>
                    <w:pStyle w:val="308"/>
                  </w:pPr>
                  <w:r>
                    <w:rPr>
                      <w:rFonts w:hint="eastAsia"/>
                      <w:lang w:val="en-US"/>
                    </w:rPr>
                    <w:t>废弃防护服</w:t>
                  </w:r>
                </w:p>
              </w:tc>
              <w:tc>
                <w:tcPr>
                  <w:tcW w:w="708" w:type="pct"/>
                  <w:vAlign w:val="center"/>
                </w:tcPr>
                <w:p>
                  <w:pPr>
                    <w:pStyle w:val="308"/>
                  </w:pPr>
                  <w:r>
                    <w:rPr>
                      <w:rFonts w:hint="eastAsia"/>
                      <w:lang w:val="en-US"/>
                    </w:rPr>
                    <w:t>HW01医疗废物</w:t>
                  </w:r>
                </w:p>
              </w:tc>
              <w:tc>
                <w:tcPr>
                  <w:tcW w:w="536" w:type="pct"/>
                  <w:vAlign w:val="center"/>
                </w:tcPr>
                <w:p>
                  <w:pPr>
                    <w:pStyle w:val="66"/>
                    <w:spacing w:before="24" w:after="24"/>
                  </w:pPr>
                  <w:r>
                    <w:t>841-</w:t>
                  </w:r>
                  <w:r>
                    <w:rPr>
                      <w:rFonts w:hint="eastAsia"/>
                    </w:rPr>
                    <w:t>0</w:t>
                  </w:r>
                  <w:r>
                    <w:t>0</w:t>
                  </w:r>
                  <w:r>
                    <w:rPr>
                      <w:rFonts w:hint="eastAsia"/>
                    </w:rPr>
                    <w:t>1</w:t>
                  </w:r>
                  <w:r>
                    <w:t>-01</w:t>
                  </w:r>
                </w:p>
              </w:tc>
              <w:tc>
                <w:tcPr>
                  <w:tcW w:w="337" w:type="pct"/>
                  <w:vAlign w:val="center"/>
                </w:tcPr>
                <w:p>
                  <w:pPr>
                    <w:pStyle w:val="66"/>
                    <w:rPr>
                      <w:lang w:eastAsia="zh-CN"/>
                    </w:rPr>
                  </w:pPr>
                  <w:r>
                    <w:rPr>
                      <w:rFonts w:hint="eastAsia"/>
                      <w:lang w:eastAsia="zh-CN"/>
                    </w:rPr>
                    <w:t>1</w:t>
                  </w:r>
                  <w:r>
                    <w:rPr>
                      <w:lang w:eastAsia="zh-CN"/>
                    </w:rPr>
                    <w:t>.6425</w:t>
                  </w:r>
                </w:p>
              </w:tc>
              <w:tc>
                <w:tcPr>
                  <w:tcW w:w="498" w:type="pct"/>
                  <w:vAlign w:val="center"/>
                </w:tcPr>
                <w:p>
                  <w:pPr>
                    <w:pStyle w:val="308"/>
                  </w:pPr>
                  <w:r>
                    <w:rPr>
                      <w:rFonts w:hint="eastAsia"/>
                      <w:lang w:val="en-US"/>
                    </w:rPr>
                    <w:t>实验检测</w:t>
                  </w:r>
                </w:p>
              </w:tc>
              <w:tc>
                <w:tcPr>
                  <w:tcW w:w="293" w:type="pct"/>
                  <w:vAlign w:val="center"/>
                </w:tcPr>
                <w:p>
                  <w:pPr>
                    <w:pStyle w:val="308"/>
                    <w:rPr>
                      <w:lang w:val="en-US"/>
                    </w:rPr>
                  </w:pPr>
                  <w:r>
                    <w:rPr>
                      <w:rFonts w:hint="eastAsia"/>
                      <w:lang w:val="en-US"/>
                    </w:rPr>
                    <w:t>固体</w:t>
                  </w:r>
                </w:p>
              </w:tc>
              <w:tc>
                <w:tcPr>
                  <w:tcW w:w="337" w:type="pct"/>
                  <w:vAlign w:val="center"/>
                </w:tcPr>
                <w:p>
                  <w:pPr>
                    <w:pStyle w:val="66"/>
                    <w:spacing w:before="24" w:after="24"/>
                  </w:pPr>
                  <w:r>
                    <w:rPr>
                      <w:rFonts w:hint="eastAsia"/>
                    </w:rPr>
                    <w:t>/</w:t>
                  </w:r>
                </w:p>
              </w:tc>
              <w:tc>
                <w:tcPr>
                  <w:tcW w:w="352" w:type="pct"/>
                  <w:vAlign w:val="center"/>
                </w:tcPr>
                <w:p>
                  <w:pPr>
                    <w:pStyle w:val="66"/>
                    <w:spacing w:before="24" w:after="24"/>
                  </w:pPr>
                  <w:r>
                    <w:rPr>
                      <w:rFonts w:hint="eastAsia"/>
                    </w:rPr>
                    <w:t>/</w:t>
                  </w:r>
                </w:p>
              </w:tc>
              <w:tc>
                <w:tcPr>
                  <w:tcW w:w="431" w:type="pct"/>
                  <w:vAlign w:val="center"/>
                </w:tcPr>
                <w:p>
                  <w:pPr>
                    <w:pStyle w:val="66"/>
                    <w:spacing w:before="24" w:after="24"/>
                  </w:pPr>
                  <w:r>
                    <w:rPr>
                      <w:rFonts w:hint="eastAsia"/>
                    </w:rPr>
                    <w:t>1天</w:t>
                  </w:r>
                </w:p>
              </w:tc>
              <w:tc>
                <w:tcPr>
                  <w:tcW w:w="370" w:type="pct"/>
                  <w:vAlign w:val="center"/>
                </w:tcPr>
                <w:p>
                  <w:pPr>
                    <w:pStyle w:val="66"/>
                    <w:spacing w:before="24" w:after="24"/>
                  </w:pPr>
                  <w:r>
                    <w:rPr>
                      <w:rFonts w:hint="eastAsia"/>
                    </w:rPr>
                    <w:t>In</w:t>
                  </w:r>
                </w:p>
              </w:tc>
              <w:tc>
                <w:tcPr>
                  <w:tcW w:w="448"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vAlign w:val="center"/>
                </w:tcPr>
                <w:p>
                  <w:pPr>
                    <w:pStyle w:val="308"/>
                  </w:pPr>
                  <w:r>
                    <w:rPr>
                      <w:rFonts w:hint="eastAsia"/>
                      <w:lang w:val="en-US"/>
                    </w:rPr>
                    <w:t>废过滤器</w:t>
                  </w:r>
                </w:p>
              </w:tc>
              <w:tc>
                <w:tcPr>
                  <w:tcW w:w="708" w:type="pct"/>
                  <w:vAlign w:val="center"/>
                </w:tcPr>
                <w:p>
                  <w:pPr>
                    <w:pStyle w:val="308"/>
                  </w:pPr>
                  <w:r>
                    <w:rPr>
                      <w:rFonts w:hint="eastAsia"/>
                      <w:lang w:val="en-US"/>
                    </w:rPr>
                    <w:t>HW49其他废物</w:t>
                  </w:r>
                </w:p>
              </w:tc>
              <w:tc>
                <w:tcPr>
                  <w:tcW w:w="536" w:type="pct"/>
                  <w:vAlign w:val="center"/>
                </w:tcPr>
                <w:p>
                  <w:pPr>
                    <w:pStyle w:val="66"/>
                    <w:spacing w:before="24" w:after="24"/>
                  </w:pPr>
                  <w:r>
                    <w:rPr>
                      <w:rFonts w:hint="eastAsia"/>
                    </w:rPr>
                    <w:t>900-041-49</w:t>
                  </w:r>
                </w:p>
              </w:tc>
              <w:tc>
                <w:tcPr>
                  <w:tcW w:w="337" w:type="pct"/>
                  <w:vAlign w:val="center"/>
                </w:tcPr>
                <w:p>
                  <w:pPr>
                    <w:pStyle w:val="66"/>
                    <w:rPr>
                      <w:lang w:eastAsia="zh-CN"/>
                    </w:rPr>
                  </w:pPr>
                  <w:r>
                    <w:rPr>
                      <w:rFonts w:hint="eastAsia"/>
                      <w:lang w:eastAsia="zh-CN"/>
                    </w:rPr>
                    <w:t>0</w:t>
                  </w:r>
                  <w:r>
                    <w:rPr>
                      <w:lang w:eastAsia="zh-CN"/>
                    </w:rPr>
                    <w:t>.294</w:t>
                  </w:r>
                </w:p>
              </w:tc>
              <w:tc>
                <w:tcPr>
                  <w:tcW w:w="498" w:type="pct"/>
                  <w:vAlign w:val="center"/>
                </w:tcPr>
                <w:p>
                  <w:pPr>
                    <w:pStyle w:val="308"/>
                    <w:rPr>
                      <w:lang w:val="en-US"/>
                    </w:rPr>
                  </w:pPr>
                  <w:r>
                    <w:rPr>
                      <w:rFonts w:hint="eastAsia"/>
                      <w:lang w:val="en-US"/>
                    </w:rPr>
                    <w:t>生物安全柜过滤</w:t>
                  </w:r>
                </w:p>
              </w:tc>
              <w:tc>
                <w:tcPr>
                  <w:tcW w:w="293" w:type="pct"/>
                  <w:vAlign w:val="center"/>
                </w:tcPr>
                <w:p>
                  <w:pPr>
                    <w:pStyle w:val="308"/>
                    <w:rPr>
                      <w:lang w:val="en-US"/>
                    </w:rPr>
                  </w:pPr>
                  <w:r>
                    <w:rPr>
                      <w:rFonts w:hint="eastAsia"/>
                      <w:lang w:val="en-US"/>
                    </w:rPr>
                    <w:t>固体</w:t>
                  </w:r>
                </w:p>
              </w:tc>
              <w:tc>
                <w:tcPr>
                  <w:tcW w:w="337" w:type="pct"/>
                  <w:vAlign w:val="center"/>
                </w:tcPr>
                <w:p>
                  <w:pPr>
                    <w:pStyle w:val="66"/>
                    <w:spacing w:before="24" w:after="24"/>
                  </w:pPr>
                  <w:r>
                    <w:rPr>
                      <w:rFonts w:hint="eastAsia"/>
                    </w:rPr>
                    <w:t>/</w:t>
                  </w:r>
                </w:p>
              </w:tc>
              <w:tc>
                <w:tcPr>
                  <w:tcW w:w="352" w:type="pct"/>
                  <w:vAlign w:val="center"/>
                </w:tcPr>
                <w:p>
                  <w:pPr>
                    <w:pStyle w:val="66"/>
                    <w:spacing w:before="24" w:after="24"/>
                  </w:pPr>
                  <w:r>
                    <w:rPr>
                      <w:rFonts w:hint="eastAsia"/>
                    </w:rPr>
                    <w:t>/</w:t>
                  </w:r>
                </w:p>
              </w:tc>
              <w:tc>
                <w:tcPr>
                  <w:tcW w:w="431" w:type="pct"/>
                  <w:vAlign w:val="center"/>
                </w:tcPr>
                <w:p>
                  <w:pPr>
                    <w:pStyle w:val="66"/>
                    <w:spacing w:before="24" w:after="24"/>
                  </w:pPr>
                  <w:r>
                    <w:rPr>
                      <w:rFonts w:hint="eastAsia"/>
                    </w:rPr>
                    <w:t>2个月</w:t>
                  </w:r>
                </w:p>
              </w:tc>
              <w:tc>
                <w:tcPr>
                  <w:tcW w:w="370" w:type="pct"/>
                  <w:vAlign w:val="center"/>
                </w:tcPr>
                <w:p>
                  <w:pPr>
                    <w:pStyle w:val="66"/>
                    <w:spacing w:before="24" w:after="24"/>
                  </w:pPr>
                  <w:r>
                    <w:rPr>
                      <w:rFonts w:hint="eastAsia"/>
                    </w:rPr>
                    <w:t>T/In</w:t>
                  </w:r>
                </w:p>
              </w:tc>
              <w:tc>
                <w:tcPr>
                  <w:tcW w:w="448"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vAlign w:val="center"/>
                </w:tcPr>
                <w:p>
                  <w:pPr>
                    <w:pStyle w:val="308"/>
                    <w:rPr>
                      <w:lang w:val="en-US"/>
                    </w:rPr>
                  </w:pPr>
                  <w:r>
                    <w:rPr>
                      <w:rFonts w:hint="eastAsia"/>
                      <w:lang w:val="en-US"/>
                    </w:rPr>
                    <w:t>废试剂瓶</w:t>
                  </w:r>
                </w:p>
              </w:tc>
              <w:tc>
                <w:tcPr>
                  <w:tcW w:w="708" w:type="pct"/>
                  <w:vAlign w:val="center"/>
                </w:tcPr>
                <w:p>
                  <w:pPr>
                    <w:pStyle w:val="308"/>
                    <w:rPr>
                      <w:lang w:val="en-US"/>
                    </w:rPr>
                  </w:pPr>
                  <w:r>
                    <w:rPr>
                      <w:rFonts w:hint="eastAsia"/>
                      <w:lang w:val="en-US"/>
                    </w:rPr>
                    <w:t>HW49其他废物</w:t>
                  </w:r>
                </w:p>
              </w:tc>
              <w:tc>
                <w:tcPr>
                  <w:tcW w:w="536" w:type="pct"/>
                  <w:vAlign w:val="center"/>
                </w:tcPr>
                <w:p>
                  <w:pPr>
                    <w:pStyle w:val="66"/>
                    <w:spacing w:before="24" w:after="24"/>
                  </w:pPr>
                  <w:r>
                    <w:rPr>
                      <w:rFonts w:hint="eastAsia"/>
                    </w:rPr>
                    <w:t>900-047-49</w:t>
                  </w:r>
                </w:p>
              </w:tc>
              <w:tc>
                <w:tcPr>
                  <w:tcW w:w="337" w:type="pct"/>
                  <w:vAlign w:val="center"/>
                </w:tcPr>
                <w:p>
                  <w:pPr>
                    <w:pStyle w:val="66"/>
                    <w:rPr>
                      <w:lang w:eastAsia="zh-CN"/>
                    </w:rPr>
                  </w:pPr>
                  <w:r>
                    <w:rPr>
                      <w:rFonts w:hint="eastAsia"/>
                      <w:lang w:eastAsia="zh-CN"/>
                    </w:rPr>
                    <w:t>0</w:t>
                  </w:r>
                  <w:r>
                    <w:rPr>
                      <w:lang w:eastAsia="zh-CN"/>
                    </w:rPr>
                    <w:t>.5</w:t>
                  </w:r>
                </w:p>
              </w:tc>
              <w:tc>
                <w:tcPr>
                  <w:tcW w:w="498" w:type="pct"/>
                  <w:vAlign w:val="center"/>
                </w:tcPr>
                <w:p>
                  <w:pPr>
                    <w:pStyle w:val="308"/>
                    <w:rPr>
                      <w:lang w:val="en-US"/>
                    </w:rPr>
                  </w:pPr>
                  <w:r>
                    <w:rPr>
                      <w:rFonts w:hint="eastAsia"/>
                      <w:lang w:val="en-US"/>
                    </w:rPr>
                    <w:t>实验检测</w:t>
                  </w:r>
                </w:p>
              </w:tc>
              <w:tc>
                <w:tcPr>
                  <w:tcW w:w="293" w:type="pct"/>
                  <w:vAlign w:val="center"/>
                </w:tcPr>
                <w:p>
                  <w:pPr>
                    <w:pStyle w:val="308"/>
                    <w:rPr>
                      <w:lang w:val="en-US"/>
                    </w:rPr>
                  </w:pPr>
                  <w:r>
                    <w:rPr>
                      <w:rFonts w:hint="eastAsia"/>
                      <w:lang w:val="en-US"/>
                    </w:rPr>
                    <w:t>固体</w:t>
                  </w:r>
                </w:p>
              </w:tc>
              <w:tc>
                <w:tcPr>
                  <w:tcW w:w="337" w:type="pct"/>
                  <w:vAlign w:val="center"/>
                </w:tcPr>
                <w:p>
                  <w:pPr>
                    <w:pStyle w:val="66"/>
                    <w:spacing w:before="24" w:after="24"/>
                  </w:pPr>
                  <w:r>
                    <w:rPr>
                      <w:rFonts w:hint="eastAsia"/>
                    </w:rPr>
                    <w:t>/</w:t>
                  </w:r>
                </w:p>
              </w:tc>
              <w:tc>
                <w:tcPr>
                  <w:tcW w:w="352" w:type="pct"/>
                  <w:vAlign w:val="center"/>
                </w:tcPr>
                <w:p>
                  <w:pPr>
                    <w:pStyle w:val="66"/>
                    <w:spacing w:before="24" w:after="24"/>
                  </w:pPr>
                  <w:r>
                    <w:rPr>
                      <w:rFonts w:hint="eastAsia"/>
                    </w:rPr>
                    <w:t>/</w:t>
                  </w:r>
                </w:p>
              </w:tc>
              <w:tc>
                <w:tcPr>
                  <w:tcW w:w="431" w:type="pct"/>
                  <w:vAlign w:val="center"/>
                </w:tcPr>
                <w:p>
                  <w:pPr>
                    <w:pStyle w:val="66"/>
                    <w:spacing w:before="24" w:after="24"/>
                  </w:pPr>
                  <w:r>
                    <w:rPr>
                      <w:rFonts w:hint="eastAsia"/>
                    </w:rPr>
                    <w:t>15天</w:t>
                  </w:r>
                </w:p>
              </w:tc>
              <w:tc>
                <w:tcPr>
                  <w:tcW w:w="370" w:type="pct"/>
                  <w:vAlign w:val="center"/>
                </w:tcPr>
                <w:p>
                  <w:pPr>
                    <w:pStyle w:val="66"/>
                    <w:spacing w:before="24" w:after="24"/>
                  </w:pPr>
                  <w:r>
                    <w:rPr>
                      <w:rFonts w:hint="eastAsia"/>
                    </w:rPr>
                    <w:t>T/C/I/R</w:t>
                  </w:r>
                </w:p>
              </w:tc>
              <w:tc>
                <w:tcPr>
                  <w:tcW w:w="448"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tcBorders>
                    <w:bottom w:val="single" w:color="auto" w:sz="4" w:space="0"/>
                  </w:tcBorders>
                  <w:vAlign w:val="center"/>
                </w:tcPr>
                <w:p>
                  <w:pPr>
                    <w:pStyle w:val="308"/>
                    <w:rPr>
                      <w:lang w:val="en-US"/>
                    </w:rPr>
                  </w:pPr>
                  <w:r>
                    <w:rPr>
                      <w:rFonts w:hint="eastAsia"/>
                      <w:lang w:val="en-US"/>
                    </w:rPr>
                    <w:t>污泥</w:t>
                  </w:r>
                </w:p>
              </w:tc>
              <w:tc>
                <w:tcPr>
                  <w:tcW w:w="708" w:type="pct"/>
                  <w:tcBorders>
                    <w:bottom w:val="single" w:color="auto" w:sz="4" w:space="0"/>
                  </w:tcBorders>
                  <w:vAlign w:val="center"/>
                </w:tcPr>
                <w:p>
                  <w:pPr>
                    <w:pStyle w:val="308"/>
                  </w:pPr>
                  <w:r>
                    <w:rPr>
                      <w:rFonts w:hint="eastAsia"/>
                      <w:lang w:val="en-US"/>
                    </w:rPr>
                    <w:t>HW49环境治理</w:t>
                  </w:r>
                </w:p>
              </w:tc>
              <w:tc>
                <w:tcPr>
                  <w:tcW w:w="536" w:type="pct"/>
                  <w:tcBorders>
                    <w:bottom w:val="single" w:color="auto" w:sz="4" w:space="0"/>
                  </w:tcBorders>
                  <w:vAlign w:val="center"/>
                </w:tcPr>
                <w:p>
                  <w:pPr>
                    <w:pStyle w:val="66"/>
                    <w:spacing w:before="24" w:after="24"/>
                  </w:pPr>
                  <w:r>
                    <w:t>772-006-49</w:t>
                  </w:r>
                </w:p>
              </w:tc>
              <w:tc>
                <w:tcPr>
                  <w:tcW w:w="337" w:type="pct"/>
                  <w:tcBorders>
                    <w:bottom w:val="single" w:color="auto" w:sz="4" w:space="0"/>
                  </w:tcBorders>
                  <w:vAlign w:val="center"/>
                </w:tcPr>
                <w:p>
                  <w:pPr>
                    <w:pStyle w:val="66"/>
                    <w:rPr>
                      <w:lang w:eastAsia="zh-CN"/>
                    </w:rPr>
                  </w:pPr>
                  <w:r>
                    <w:rPr>
                      <w:rFonts w:hint="eastAsia"/>
                      <w:lang w:eastAsia="zh-CN"/>
                    </w:rPr>
                    <w:t>0</w:t>
                  </w:r>
                  <w:r>
                    <w:rPr>
                      <w:lang w:eastAsia="zh-CN"/>
                    </w:rPr>
                    <w:t>.13</w:t>
                  </w:r>
                </w:p>
              </w:tc>
              <w:tc>
                <w:tcPr>
                  <w:tcW w:w="498" w:type="pct"/>
                  <w:tcBorders>
                    <w:bottom w:val="single" w:color="auto" w:sz="4" w:space="0"/>
                  </w:tcBorders>
                  <w:vAlign w:val="center"/>
                </w:tcPr>
                <w:p>
                  <w:pPr>
                    <w:pStyle w:val="308"/>
                    <w:rPr>
                      <w:lang w:val="en-US"/>
                    </w:rPr>
                  </w:pPr>
                  <w:r>
                    <w:rPr>
                      <w:rFonts w:hint="eastAsia"/>
                      <w:lang w:val="en-US"/>
                    </w:rPr>
                    <w:t>废水处理</w:t>
                  </w:r>
                </w:p>
              </w:tc>
              <w:tc>
                <w:tcPr>
                  <w:tcW w:w="293" w:type="pct"/>
                  <w:tcBorders>
                    <w:bottom w:val="single" w:color="auto" w:sz="4" w:space="0"/>
                  </w:tcBorders>
                  <w:vAlign w:val="center"/>
                </w:tcPr>
                <w:p>
                  <w:pPr>
                    <w:pStyle w:val="308"/>
                    <w:rPr>
                      <w:lang w:val="en-US"/>
                    </w:rPr>
                  </w:pPr>
                  <w:r>
                    <w:rPr>
                      <w:rFonts w:hint="eastAsia"/>
                      <w:lang w:val="en-US"/>
                    </w:rPr>
                    <w:t>固体</w:t>
                  </w:r>
                </w:p>
              </w:tc>
              <w:tc>
                <w:tcPr>
                  <w:tcW w:w="337" w:type="pct"/>
                  <w:tcBorders>
                    <w:bottom w:val="single" w:color="auto" w:sz="4" w:space="0"/>
                  </w:tcBorders>
                  <w:vAlign w:val="center"/>
                </w:tcPr>
                <w:p>
                  <w:pPr>
                    <w:pStyle w:val="66"/>
                    <w:spacing w:before="24" w:after="24"/>
                  </w:pPr>
                  <w:r>
                    <w:rPr>
                      <w:rFonts w:hint="eastAsia"/>
                    </w:rPr>
                    <w:t>/</w:t>
                  </w:r>
                </w:p>
              </w:tc>
              <w:tc>
                <w:tcPr>
                  <w:tcW w:w="352" w:type="pct"/>
                  <w:tcBorders>
                    <w:bottom w:val="single" w:color="auto" w:sz="4" w:space="0"/>
                  </w:tcBorders>
                  <w:vAlign w:val="center"/>
                </w:tcPr>
                <w:p>
                  <w:pPr>
                    <w:pStyle w:val="66"/>
                    <w:spacing w:before="24" w:after="24"/>
                  </w:pPr>
                  <w:r>
                    <w:rPr>
                      <w:rFonts w:hint="eastAsia"/>
                    </w:rPr>
                    <w:t>/</w:t>
                  </w:r>
                </w:p>
              </w:tc>
              <w:tc>
                <w:tcPr>
                  <w:tcW w:w="431" w:type="pct"/>
                  <w:tcBorders>
                    <w:bottom w:val="single" w:color="auto" w:sz="4" w:space="0"/>
                  </w:tcBorders>
                  <w:vAlign w:val="center"/>
                </w:tcPr>
                <w:p>
                  <w:pPr>
                    <w:pStyle w:val="66"/>
                    <w:spacing w:before="24" w:after="24"/>
                  </w:pPr>
                  <w:r>
                    <w:rPr>
                      <w:rFonts w:hint="eastAsia"/>
                    </w:rPr>
                    <w:t>1年</w:t>
                  </w:r>
                </w:p>
              </w:tc>
              <w:tc>
                <w:tcPr>
                  <w:tcW w:w="370" w:type="pct"/>
                  <w:tcBorders>
                    <w:bottom w:val="single" w:color="auto" w:sz="4" w:space="0"/>
                  </w:tcBorders>
                  <w:vAlign w:val="center"/>
                </w:tcPr>
                <w:p>
                  <w:pPr>
                    <w:pStyle w:val="66"/>
                    <w:spacing w:before="24" w:after="24"/>
                  </w:pPr>
                  <w:r>
                    <w:rPr>
                      <w:rFonts w:hint="eastAsia"/>
                    </w:rPr>
                    <w:t>In</w:t>
                  </w:r>
                </w:p>
              </w:tc>
              <w:tc>
                <w:tcPr>
                  <w:tcW w:w="448"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tcBorders>
                    <w:top w:val="single" w:color="auto" w:sz="4" w:space="0"/>
                    <w:bottom w:val="single" w:color="auto" w:sz="4" w:space="0"/>
                  </w:tcBorders>
                  <w:vAlign w:val="center"/>
                </w:tcPr>
                <w:p>
                  <w:pPr>
                    <w:pStyle w:val="308"/>
                    <w:rPr>
                      <w:lang w:val="en-US"/>
                    </w:rPr>
                  </w:pPr>
                  <w:r>
                    <w:rPr>
                      <w:rFonts w:hint="eastAsia"/>
                    </w:rPr>
                    <w:t>生化及免疫实验</w:t>
                  </w:r>
                  <w:r>
                    <w:rPr>
                      <w:rFonts w:hint="eastAsia"/>
                      <w:lang w:val="en-US"/>
                    </w:rPr>
                    <w:t>加样针清洗废液</w:t>
                  </w:r>
                </w:p>
              </w:tc>
              <w:tc>
                <w:tcPr>
                  <w:tcW w:w="708" w:type="pct"/>
                  <w:tcBorders>
                    <w:top w:val="single" w:color="auto" w:sz="4" w:space="0"/>
                    <w:bottom w:val="single" w:color="auto" w:sz="4" w:space="0"/>
                  </w:tcBorders>
                  <w:vAlign w:val="center"/>
                </w:tcPr>
                <w:p>
                  <w:pPr>
                    <w:pStyle w:val="308"/>
                    <w:rPr>
                      <w:lang w:val="en-US"/>
                    </w:rPr>
                  </w:pPr>
                  <w:r>
                    <w:rPr>
                      <w:lang w:val="en-US"/>
                    </w:rPr>
                    <w:t>HW03</w:t>
                  </w:r>
                  <w:r>
                    <w:rPr>
                      <w:rFonts w:hint="eastAsia"/>
                      <w:lang w:val="en-US"/>
                    </w:rPr>
                    <w:t>废药物、药品</w:t>
                  </w:r>
                </w:p>
              </w:tc>
              <w:tc>
                <w:tcPr>
                  <w:tcW w:w="536" w:type="pct"/>
                  <w:tcBorders>
                    <w:top w:val="single" w:color="auto" w:sz="4" w:space="0"/>
                    <w:bottom w:val="single" w:color="auto" w:sz="4" w:space="0"/>
                  </w:tcBorders>
                  <w:vAlign w:val="center"/>
                </w:tcPr>
                <w:p>
                  <w:pPr>
                    <w:pStyle w:val="66"/>
                    <w:spacing w:before="24" w:after="24"/>
                  </w:pPr>
                  <w:r>
                    <w:t>900-002-03</w:t>
                  </w:r>
                </w:p>
              </w:tc>
              <w:tc>
                <w:tcPr>
                  <w:tcW w:w="337" w:type="pct"/>
                  <w:tcBorders>
                    <w:top w:val="single" w:color="auto" w:sz="4" w:space="0"/>
                    <w:bottom w:val="single" w:color="auto" w:sz="4" w:space="0"/>
                  </w:tcBorders>
                  <w:vAlign w:val="center"/>
                </w:tcPr>
                <w:p>
                  <w:pPr>
                    <w:pStyle w:val="66"/>
                    <w:rPr>
                      <w:lang w:eastAsia="zh-CN"/>
                    </w:rPr>
                  </w:pPr>
                  <w:r>
                    <w:rPr>
                      <w:rFonts w:hint="eastAsia"/>
                      <w:lang w:eastAsia="zh-CN"/>
                    </w:rPr>
                    <w:t>1</w:t>
                  </w:r>
                  <w:r>
                    <w:rPr>
                      <w:lang w:eastAsia="zh-CN"/>
                    </w:rPr>
                    <w:t>.8</w:t>
                  </w:r>
                </w:p>
              </w:tc>
              <w:tc>
                <w:tcPr>
                  <w:tcW w:w="498" w:type="pct"/>
                  <w:tcBorders>
                    <w:top w:val="single" w:color="auto" w:sz="4" w:space="0"/>
                    <w:bottom w:val="single" w:color="auto" w:sz="4" w:space="0"/>
                  </w:tcBorders>
                  <w:vAlign w:val="center"/>
                </w:tcPr>
                <w:p>
                  <w:pPr>
                    <w:pStyle w:val="308"/>
                    <w:rPr>
                      <w:lang w:val="en-US"/>
                    </w:rPr>
                  </w:pPr>
                  <w:r>
                    <w:rPr>
                      <w:rFonts w:hint="eastAsia"/>
                      <w:lang w:val="en-US"/>
                    </w:rPr>
                    <w:t>实验检测</w:t>
                  </w:r>
                </w:p>
              </w:tc>
              <w:tc>
                <w:tcPr>
                  <w:tcW w:w="293" w:type="pct"/>
                  <w:tcBorders>
                    <w:top w:val="single" w:color="auto" w:sz="4" w:space="0"/>
                    <w:bottom w:val="single" w:color="auto" w:sz="4" w:space="0"/>
                  </w:tcBorders>
                  <w:vAlign w:val="center"/>
                </w:tcPr>
                <w:p>
                  <w:pPr>
                    <w:pStyle w:val="308"/>
                    <w:rPr>
                      <w:lang w:val="en-US"/>
                    </w:rPr>
                  </w:pPr>
                  <w:r>
                    <w:rPr>
                      <w:rFonts w:hint="eastAsia"/>
                      <w:lang w:val="en-US"/>
                    </w:rPr>
                    <w:t>液体</w:t>
                  </w:r>
                </w:p>
              </w:tc>
              <w:tc>
                <w:tcPr>
                  <w:tcW w:w="337" w:type="pct"/>
                  <w:tcBorders>
                    <w:top w:val="single" w:color="auto" w:sz="4" w:space="0"/>
                    <w:bottom w:val="single" w:color="auto" w:sz="4" w:space="0"/>
                  </w:tcBorders>
                  <w:vAlign w:val="center"/>
                </w:tcPr>
                <w:p>
                  <w:pPr>
                    <w:pStyle w:val="66"/>
                    <w:spacing w:before="24" w:after="24"/>
                  </w:pPr>
                  <w:r>
                    <w:rPr>
                      <w:rFonts w:hint="eastAsia"/>
                    </w:rPr>
                    <w:t>/</w:t>
                  </w:r>
                </w:p>
              </w:tc>
              <w:tc>
                <w:tcPr>
                  <w:tcW w:w="352" w:type="pct"/>
                  <w:tcBorders>
                    <w:top w:val="single" w:color="auto" w:sz="4" w:space="0"/>
                    <w:bottom w:val="single" w:color="auto" w:sz="4" w:space="0"/>
                  </w:tcBorders>
                  <w:vAlign w:val="center"/>
                </w:tcPr>
                <w:p>
                  <w:pPr>
                    <w:pStyle w:val="66"/>
                    <w:spacing w:before="24" w:after="24"/>
                  </w:pPr>
                  <w:r>
                    <w:rPr>
                      <w:rFonts w:hint="eastAsia"/>
                    </w:rPr>
                    <w:t>/</w:t>
                  </w:r>
                </w:p>
              </w:tc>
              <w:tc>
                <w:tcPr>
                  <w:tcW w:w="431" w:type="pct"/>
                  <w:tcBorders>
                    <w:top w:val="single" w:color="auto" w:sz="4" w:space="0"/>
                    <w:bottom w:val="single" w:color="auto" w:sz="4" w:space="0"/>
                  </w:tcBorders>
                  <w:vAlign w:val="center"/>
                </w:tcPr>
                <w:p>
                  <w:pPr>
                    <w:pStyle w:val="66"/>
                    <w:spacing w:before="24" w:after="24"/>
                  </w:pPr>
                  <w:r>
                    <w:rPr>
                      <w:rFonts w:hint="eastAsia"/>
                    </w:rPr>
                    <w:t>1天</w:t>
                  </w:r>
                </w:p>
              </w:tc>
              <w:tc>
                <w:tcPr>
                  <w:tcW w:w="370" w:type="pct"/>
                  <w:tcBorders>
                    <w:top w:val="single" w:color="auto" w:sz="4" w:space="0"/>
                    <w:bottom w:val="single" w:color="auto" w:sz="4" w:space="0"/>
                  </w:tcBorders>
                  <w:vAlign w:val="center"/>
                </w:tcPr>
                <w:p>
                  <w:pPr>
                    <w:pStyle w:val="66"/>
                    <w:spacing w:before="24" w:after="24"/>
                  </w:pPr>
                  <w:r>
                    <w:rPr>
                      <w:rFonts w:hint="eastAsia"/>
                      <w:lang w:eastAsia="zh-CN"/>
                    </w:rPr>
                    <w:t>T</w:t>
                  </w:r>
                </w:p>
              </w:tc>
              <w:tc>
                <w:tcPr>
                  <w:tcW w:w="448"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tcBorders>
                    <w:top w:val="single" w:color="auto" w:sz="4" w:space="0"/>
                    <w:bottom w:val="single" w:color="auto" w:sz="4" w:space="0"/>
                  </w:tcBorders>
                  <w:vAlign w:val="center"/>
                </w:tcPr>
                <w:p>
                  <w:pPr>
                    <w:pStyle w:val="308"/>
                  </w:pPr>
                  <w:r>
                    <w:rPr>
                      <w:rFonts w:hint="eastAsia"/>
                    </w:rPr>
                    <w:t>仪器清洗废液</w:t>
                  </w:r>
                </w:p>
              </w:tc>
              <w:tc>
                <w:tcPr>
                  <w:tcW w:w="708" w:type="pct"/>
                  <w:tcBorders>
                    <w:top w:val="single" w:color="auto" w:sz="4" w:space="0"/>
                    <w:bottom w:val="single" w:color="auto" w:sz="4" w:space="0"/>
                  </w:tcBorders>
                  <w:vAlign w:val="center"/>
                </w:tcPr>
                <w:p>
                  <w:pPr>
                    <w:pStyle w:val="308"/>
                    <w:rPr>
                      <w:lang w:val="en-US"/>
                    </w:rPr>
                  </w:pPr>
                  <w:r>
                    <w:rPr>
                      <w:lang w:val="en-US"/>
                    </w:rPr>
                    <w:t>HW03</w:t>
                  </w:r>
                  <w:r>
                    <w:rPr>
                      <w:rFonts w:hint="eastAsia"/>
                      <w:lang w:val="en-US"/>
                    </w:rPr>
                    <w:t>废药物、药品</w:t>
                  </w:r>
                </w:p>
              </w:tc>
              <w:tc>
                <w:tcPr>
                  <w:tcW w:w="536" w:type="pct"/>
                  <w:tcBorders>
                    <w:top w:val="single" w:color="auto" w:sz="4" w:space="0"/>
                    <w:bottom w:val="single" w:color="auto" w:sz="4" w:space="0"/>
                  </w:tcBorders>
                  <w:vAlign w:val="center"/>
                </w:tcPr>
                <w:p>
                  <w:pPr>
                    <w:pStyle w:val="66"/>
                    <w:spacing w:before="24" w:after="24"/>
                  </w:pPr>
                  <w:r>
                    <w:t>900-002-03</w:t>
                  </w:r>
                </w:p>
              </w:tc>
              <w:tc>
                <w:tcPr>
                  <w:tcW w:w="337" w:type="pct"/>
                  <w:tcBorders>
                    <w:top w:val="single" w:color="auto" w:sz="4" w:space="0"/>
                    <w:bottom w:val="single" w:color="auto" w:sz="4" w:space="0"/>
                  </w:tcBorders>
                  <w:vAlign w:val="center"/>
                </w:tcPr>
                <w:p>
                  <w:pPr>
                    <w:pStyle w:val="66"/>
                    <w:rPr>
                      <w:lang w:eastAsia="zh-CN"/>
                    </w:rPr>
                  </w:pPr>
                  <w:r>
                    <w:rPr>
                      <w:lang w:eastAsia="zh-CN"/>
                    </w:rPr>
                    <w:t>182.5</w:t>
                  </w:r>
                </w:p>
              </w:tc>
              <w:tc>
                <w:tcPr>
                  <w:tcW w:w="498" w:type="pct"/>
                  <w:tcBorders>
                    <w:top w:val="single" w:color="auto" w:sz="4" w:space="0"/>
                    <w:bottom w:val="single" w:color="auto" w:sz="4" w:space="0"/>
                  </w:tcBorders>
                  <w:vAlign w:val="center"/>
                </w:tcPr>
                <w:p>
                  <w:pPr>
                    <w:pStyle w:val="308"/>
                    <w:rPr>
                      <w:lang w:val="en-US"/>
                    </w:rPr>
                  </w:pPr>
                  <w:r>
                    <w:rPr>
                      <w:rFonts w:hint="eastAsia"/>
                      <w:lang w:val="en-US"/>
                    </w:rPr>
                    <w:t>实验检测</w:t>
                  </w:r>
                </w:p>
              </w:tc>
              <w:tc>
                <w:tcPr>
                  <w:tcW w:w="293" w:type="pct"/>
                  <w:tcBorders>
                    <w:top w:val="single" w:color="auto" w:sz="4" w:space="0"/>
                    <w:bottom w:val="single" w:color="auto" w:sz="4" w:space="0"/>
                  </w:tcBorders>
                  <w:vAlign w:val="center"/>
                </w:tcPr>
                <w:p>
                  <w:pPr>
                    <w:pStyle w:val="308"/>
                    <w:rPr>
                      <w:lang w:val="en-US"/>
                    </w:rPr>
                  </w:pPr>
                  <w:r>
                    <w:rPr>
                      <w:rFonts w:hint="eastAsia"/>
                      <w:lang w:val="en-US"/>
                    </w:rPr>
                    <w:t>液体</w:t>
                  </w:r>
                </w:p>
              </w:tc>
              <w:tc>
                <w:tcPr>
                  <w:tcW w:w="337" w:type="pct"/>
                  <w:tcBorders>
                    <w:top w:val="single" w:color="auto" w:sz="4" w:space="0"/>
                    <w:bottom w:val="single" w:color="auto" w:sz="4" w:space="0"/>
                  </w:tcBorders>
                  <w:vAlign w:val="center"/>
                </w:tcPr>
                <w:p>
                  <w:pPr>
                    <w:pStyle w:val="66"/>
                    <w:spacing w:before="24" w:after="24"/>
                  </w:pPr>
                  <w:r>
                    <w:rPr>
                      <w:rFonts w:hint="eastAsia"/>
                    </w:rPr>
                    <w:t>/</w:t>
                  </w:r>
                </w:p>
              </w:tc>
              <w:tc>
                <w:tcPr>
                  <w:tcW w:w="352" w:type="pct"/>
                  <w:tcBorders>
                    <w:top w:val="single" w:color="auto" w:sz="4" w:space="0"/>
                    <w:bottom w:val="single" w:color="auto" w:sz="4" w:space="0"/>
                  </w:tcBorders>
                  <w:vAlign w:val="center"/>
                </w:tcPr>
                <w:p>
                  <w:pPr>
                    <w:pStyle w:val="66"/>
                    <w:spacing w:before="24" w:after="24"/>
                  </w:pPr>
                  <w:r>
                    <w:rPr>
                      <w:rFonts w:hint="eastAsia"/>
                    </w:rPr>
                    <w:t>/</w:t>
                  </w:r>
                </w:p>
              </w:tc>
              <w:tc>
                <w:tcPr>
                  <w:tcW w:w="431" w:type="pct"/>
                  <w:tcBorders>
                    <w:top w:val="single" w:color="auto" w:sz="4" w:space="0"/>
                    <w:bottom w:val="single" w:color="auto" w:sz="4" w:space="0"/>
                  </w:tcBorders>
                  <w:vAlign w:val="center"/>
                </w:tcPr>
                <w:p>
                  <w:pPr>
                    <w:pStyle w:val="66"/>
                    <w:spacing w:before="24" w:after="24"/>
                  </w:pPr>
                  <w:r>
                    <w:rPr>
                      <w:rFonts w:hint="eastAsia"/>
                    </w:rPr>
                    <w:t>1天</w:t>
                  </w:r>
                </w:p>
              </w:tc>
              <w:tc>
                <w:tcPr>
                  <w:tcW w:w="370" w:type="pct"/>
                  <w:tcBorders>
                    <w:top w:val="single" w:color="auto" w:sz="4" w:space="0"/>
                    <w:bottom w:val="single" w:color="auto" w:sz="4" w:space="0"/>
                  </w:tcBorders>
                  <w:vAlign w:val="center"/>
                </w:tcPr>
                <w:p>
                  <w:pPr>
                    <w:pStyle w:val="66"/>
                    <w:spacing w:before="24" w:after="24"/>
                    <w:ind w:left="420" w:hanging="420"/>
                  </w:pPr>
                  <w:r>
                    <w:rPr>
                      <w:rFonts w:hint="eastAsia"/>
                      <w:lang w:eastAsia="zh-CN"/>
                    </w:rPr>
                    <w:t>T</w:t>
                  </w:r>
                </w:p>
              </w:tc>
              <w:tc>
                <w:tcPr>
                  <w:tcW w:w="448"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tcBorders>
                    <w:top w:val="single" w:color="auto" w:sz="4" w:space="0"/>
                    <w:bottom w:val="single" w:color="auto" w:sz="4" w:space="0"/>
                  </w:tcBorders>
                  <w:vAlign w:val="center"/>
                </w:tcPr>
                <w:p>
                  <w:pPr>
                    <w:pStyle w:val="308"/>
                  </w:pPr>
                  <w:r>
                    <w:rPr>
                      <w:rFonts w:hint="eastAsia"/>
                      <w:lang w:val="en-US"/>
                    </w:rPr>
                    <w:t>废紫外线灯管</w:t>
                  </w:r>
                </w:p>
              </w:tc>
              <w:tc>
                <w:tcPr>
                  <w:tcW w:w="708" w:type="pct"/>
                  <w:tcBorders>
                    <w:top w:val="single" w:color="auto" w:sz="4" w:space="0"/>
                    <w:bottom w:val="single" w:color="auto" w:sz="4" w:space="0"/>
                  </w:tcBorders>
                  <w:vAlign w:val="center"/>
                </w:tcPr>
                <w:p>
                  <w:pPr>
                    <w:pStyle w:val="308"/>
                    <w:rPr>
                      <w:lang w:val="en-US"/>
                    </w:rPr>
                  </w:pPr>
                  <w:r>
                    <w:rPr>
                      <w:rFonts w:hint="eastAsia"/>
                      <w:lang w:val="en-US"/>
                    </w:rPr>
                    <w:t>HW49其他废物</w:t>
                  </w:r>
                </w:p>
              </w:tc>
              <w:tc>
                <w:tcPr>
                  <w:tcW w:w="536" w:type="pct"/>
                  <w:tcBorders>
                    <w:top w:val="single" w:color="auto" w:sz="4" w:space="0"/>
                    <w:bottom w:val="single" w:color="auto" w:sz="4" w:space="0"/>
                  </w:tcBorders>
                  <w:vAlign w:val="center"/>
                </w:tcPr>
                <w:p>
                  <w:pPr>
                    <w:pStyle w:val="66"/>
                    <w:spacing w:before="24" w:after="24"/>
                  </w:pPr>
                  <w:r>
                    <w:rPr>
                      <w:rFonts w:hint="eastAsia"/>
                    </w:rPr>
                    <w:t>900-04</w:t>
                  </w:r>
                  <w:r>
                    <w:t>4</w:t>
                  </w:r>
                  <w:r>
                    <w:rPr>
                      <w:rFonts w:hint="eastAsia"/>
                    </w:rPr>
                    <w:t>-49</w:t>
                  </w:r>
                </w:p>
              </w:tc>
              <w:tc>
                <w:tcPr>
                  <w:tcW w:w="337" w:type="pct"/>
                  <w:tcBorders>
                    <w:top w:val="single" w:color="auto" w:sz="4" w:space="0"/>
                    <w:bottom w:val="single" w:color="auto" w:sz="4" w:space="0"/>
                  </w:tcBorders>
                  <w:vAlign w:val="center"/>
                </w:tcPr>
                <w:p>
                  <w:pPr>
                    <w:pStyle w:val="66"/>
                    <w:rPr>
                      <w:lang w:eastAsia="zh-CN"/>
                    </w:rPr>
                  </w:pPr>
                  <w:r>
                    <w:rPr>
                      <w:rFonts w:hint="eastAsia"/>
                    </w:rPr>
                    <w:t>0.</w:t>
                  </w:r>
                  <w:r>
                    <w:t>1172</w:t>
                  </w:r>
                </w:p>
              </w:tc>
              <w:tc>
                <w:tcPr>
                  <w:tcW w:w="498" w:type="pct"/>
                  <w:tcBorders>
                    <w:top w:val="single" w:color="auto" w:sz="4" w:space="0"/>
                    <w:bottom w:val="single" w:color="auto" w:sz="4" w:space="0"/>
                  </w:tcBorders>
                  <w:vAlign w:val="center"/>
                </w:tcPr>
                <w:p>
                  <w:pPr>
                    <w:pStyle w:val="308"/>
                    <w:rPr>
                      <w:lang w:val="en-US"/>
                    </w:rPr>
                  </w:pPr>
                  <w:r>
                    <w:rPr>
                      <w:rFonts w:hint="eastAsia"/>
                      <w:lang w:val="en-US"/>
                    </w:rPr>
                    <w:t>消毒</w:t>
                  </w:r>
                </w:p>
              </w:tc>
              <w:tc>
                <w:tcPr>
                  <w:tcW w:w="293" w:type="pct"/>
                  <w:tcBorders>
                    <w:top w:val="single" w:color="auto" w:sz="4" w:space="0"/>
                    <w:bottom w:val="single" w:color="auto" w:sz="4" w:space="0"/>
                  </w:tcBorders>
                  <w:vAlign w:val="center"/>
                </w:tcPr>
                <w:p>
                  <w:pPr>
                    <w:pStyle w:val="308"/>
                    <w:rPr>
                      <w:lang w:val="en-US"/>
                    </w:rPr>
                  </w:pPr>
                  <w:r>
                    <w:rPr>
                      <w:rFonts w:hint="eastAsia"/>
                      <w:lang w:val="en-US"/>
                    </w:rPr>
                    <w:t>固体</w:t>
                  </w:r>
                </w:p>
              </w:tc>
              <w:tc>
                <w:tcPr>
                  <w:tcW w:w="337" w:type="pct"/>
                  <w:tcBorders>
                    <w:top w:val="single" w:color="auto" w:sz="4" w:space="0"/>
                    <w:bottom w:val="single" w:color="auto" w:sz="4" w:space="0"/>
                  </w:tcBorders>
                  <w:vAlign w:val="center"/>
                </w:tcPr>
                <w:p>
                  <w:pPr>
                    <w:pStyle w:val="66"/>
                    <w:spacing w:before="24" w:after="24"/>
                  </w:pPr>
                  <w:r>
                    <w:rPr>
                      <w:rFonts w:hint="eastAsia"/>
                    </w:rPr>
                    <w:t>/</w:t>
                  </w:r>
                </w:p>
              </w:tc>
              <w:tc>
                <w:tcPr>
                  <w:tcW w:w="352" w:type="pct"/>
                  <w:tcBorders>
                    <w:top w:val="single" w:color="auto" w:sz="4" w:space="0"/>
                    <w:bottom w:val="single" w:color="auto" w:sz="4" w:space="0"/>
                  </w:tcBorders>
                  <w:vAlign w:val="center"/>
                </w:tcPr>
                <w:p>
                  <w:pPr>
                    <w:pStyle w:val="66"/>
                    <w:spacing w:before="24" w:after="24"/>
                  </w:pPr>
                  <w:r>
                    <w:rPr>
                      <w:rFonts w:hint="eastAsia"/>
                    </w:rPr>
                    <w:t>/</w:t>
                  </w:r>
                </w:p>
              </w:tc>
              <w:tc>
                <w:tcPr>
                  <w:tcW w:w="431" w:type="pct"/>
                  <w:tcBorders>
                    <w:top w:val="single" w:color="auto" w:sz="4" w:space="0"/>
                    <w:bottom w:val="single" w:color="auto" w:sz="4" w:space="0"/>
                  </w:tcBorders>
                  <w:vAlign w:val="center"/>
                </w:tcPr>
                <w:p>
                  <w:pPr>
                    <w:pStyle w:val="66"/>
                    <w:spacing w:before="24" w:after="24"/>
                  </w:pPr>
                  <w:r>
                    <w:rPr>
                      <w:rFonts w:hint="eastAsia"/>
                    </w:rPr>
                    <w:t>6个月</w:t>
                  </w:r>
                </w:p>
              </w:tc>
              <w:tc>
                <w:tcPr>
                  <w:tcW w:w="370" w:type="pct"/>
                  <w:tcBorders>
                    <w:top w:val="single" w:color="auto" w:sz="4" w:space="0"/>
                    <w:bottom w:val="single" w:color="auto" w:sz="4" w:space="0"/>
                  </w:tcBorders>
                  <w:vAlign w:val="center"/>
                </w:tcPr>
                <w:p>
                  <w:pPr>
                    <w:pStyle w:val="66"/>
                    <w:spacing w:before="24" w:after="24"/>
                  </w:pPr>
                  <w:r>
                    <w:rPr>
                      <w:rFonts w:hint="eastAsia"/>
                    </w:rPr>
                    <w:t>T/In</w:t>
                  </w:r>
                </w:p>
              </w:tc>
              <w:tc>
                <w:tcPr>
                  <w:tcW w:w="448"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89" w:type="pct"/>
                  <w:tcBorders>
                    <w:top w:val="single" w:color="auto" w:sz="4" w:space="0"/>
                  </w:tcBorders>
                  <w:vAlign w:val="center"/>
                </w:tcPr>
                <w:p>
                  <w:pPr>
                    <w:pStyle w:val="308"/>
                    <w:rPr>
                      <w:lang w:val="en-US"/>
                    </w:rPr>
                  </w:pPr>
                  <w:r>
                    <w:rPr>
                      <w:rFonts w:hint="eastAsia"/>
                    </w:rPr>
                    <w:t>废活性炭</w:t>
                  </w:r>
                </w:p>
              </w:tc>
              <w:tc>
                <w:tcPr>
                  <w:tcW w:w="708" w:type="pct"/>
                  <w:tcBorders>
                    <w:top w:val="single" w:color="auto" w:sz="4" w:space="0"/>
                  </w:tcBorders>
                  <w:vAlign w:val="center"/>
                </w:tcPr>
                <w:p>
                  <w:pPr>
                    <w:pStyle w:val="308"/>
                    <w:rPr>
                      <w:lang w:val="en-US"/>
                    </w:rPr>
                  </w:pPr>
                  <w:r>
                    <w:rPr>
                      <w:rFonts w:hint="eastAsia"/>
                    </w:rPr>
                    <w:t>HW49其他废物</w:t>
                  </w:r>
                </w:p>
              </w:tc>
              <w:tc>
                <w:tcPr>
                  <w:tcW w:w="536" w:type="pct"/>
                  <w:tcBorders>
                    <w:top w:val="single" w:color="auto" w:sz="4" w:space="0"/>
                  </w:tcBorders>
                  <w:vAlign w:val="center"/>
                </w:tcPr>
                <w:p>
                  <w:pPr>
                    <w:pStyle w:val="66"/>
                    <w:spacing w:before="24" w:after="24"/>
                  </w:pPr>
                  <w:r>
                    <w:t>900-041-49</w:t>
                  </w:r>
                </w:p>
              </w:tc>
              <w:tc>
                <w:tcPr>
                  <w:tcW w:w="337" w:type="pct"/>
                  <w:tcBorders>
                    <w:top w:val="single" w:color="auto" w:sz="4" w:space="0"/>
                  </w:tcBorders>
                  <w:vAlign w:val="center"/>
                </w:tcPr>
                <w:p>
                  <w:pPr>
                    <w:pStyle w:val="66"/>
                    <w:rPr>
                      <w:lang w:eastAsia="zh-CN"/>
                    </w:rPr>
                  </w:pPr>
                  <w:r>
                    <w:rPr>
                      <w:rFonts w:hint="eastAsia"/>
                      <w:lang w:eastAsia="zh-CN"/>
                    </w:rPr>
                    <w:t>0</w:t>
                  </w:r>
                  <w:r>
                    <w:rPr>
                      <w:lang w:eastAsia="zh-CN"/>
                    </w:rPr>
                    <w:t>.1225</w:t>
                  </w:r>
                </w:p>
              </w:tc>
              <w:tc>
                <w:tcPr>
                  <w:tcW w:w="498" w:type="pct"/>
                  <w:tcBorders>
                    <w:top w:val="single" w:color="auto" w:sz="4" w:space="0"/>
                  </w:tcBorders>
                  <w:vAlign w:val="center"/>
                </w:tcPr>
                <w:p>
                  <w:pPr>
                    <w:pStyle w:val="308"/>
                    <w:rPr>
                      <w:lang w:val="en-US"/>
                    </w:rPr>
                  </w:pPr>
                  <w:r>
                    <w:rPr>
                      <w:rFonts w:hint="eastAsia"/>
                      <w:lang w:val="en-US"/>
                    </w:rPr>
                    <w:t>废气处理</w:t>
                  </w:r>
                </w:p>
              </w:tc>
              <w:tc>
                <w:tcPr>
                  <w:tcW w:w="293" w:type="pct"/>
                  <w:tcBorders>
                    <w:top w:val="single" w:color="auto" w:sz="4" w:space="0"/>
                  </w:tcBorders>
                  <w:vAlign w:val="center"/>
                </w:tcPr>
                <w:p>
                  <w:pPr>
                    <w:pStyle w:val="308"/>
                    <w:rPr>
                      <w:lang w:val="en-US"/>
                    </w:rPr>
                  </w:pPr>
                  <w:r>
                    <w:rPr>
                      <w:rFonts w:hint="eastAsia"/>
                      <w:lang w:val="en-US"/>
                    </w:rPr>
                    <w:t>固体</w:t>
                  </w:r>
                </w:p>
              </w:tc>
              <w:tc>
                <w:tcPr>
                  <w:tcW w:w="337" w:type="pct"/>
                  <w:tcBorders>
                    <w:top w:val="single" w:color="auto" w:sz="4" w:space="0"/>
                  </w:tcBorders>
                  <w:vAlign w:val="center"/>
                </w:tcPr>
                <w:p>
                  <w:pPr>
                    <w:pStyle w:val="66"/>
                    <w:spacing w:before="24" w:after="24"/>
                    <w:rPr>
                      <w:lang w:eastAsia="zh-CN"/>
                    </w:rPr>
                  </w:pPr>
                  <w:r>
                    <w:rPr>
                      <w:rFonts w:hint="eastAsia"/>
                      <w:lang w:eastAsia="zh-CN"/>
                    </w:rPr>
                    <w:t>/</w:t>
                  </w:r>
                </w:p>
              </w:tc>
              <w:tc>
                <w:tcPr>
                  <w:tcW w:w="352" w:type="pct"/>
                  <w:tcBorders>
                    <w:top w:val="single" w:color="auto" w:sz="4" w:space="0"/>
                  </w:tcBorders>
                  <w:vAlign w:val="center"/>
                </w:tcPr>
                <w:p>
                  <w:pPr>
                    <w:pStyle w:val="66"/>
                    <w:spacing w:before="24" w:after="24"/>
                    <w:rPr>
                      <w:lang w:eastAsia="zh-CN"/>
                    </w:rPr>
                  </w:pPr>
                  <w:r>
                    <w:rPr>
                      <w:rFonts w:hint="eastAsia"/>
                      <w:lang w:eastAsia="zh-CN"/>
                    </w:rPr>
                    <w:t>/</w:t>
                  </w:r>
                </w:p>
              </w:tc>
              <w:tc>
                <w:tcPr>
                  <w:tcW w:w="431" w:type="pct"/>
                  <w:tcBorders>
                    <w:top w:val="single" w:color="auto" w:sz="4" w:space="0"/>
                  </w:tcBorders>
                  <w:vAlign w:val="center"/>
                </w:tcPr>
                <w:p>
                  <w:pPr>
                    <w:pStyle w:val="66"/>
                    <w:spacing w:before="24" w:after="24"/>
                  </w:pPr>
                  <w:r>
                    <w:rPr>
                      <w:rFonts w:hint="eastAsia"/>
                      <w:lang w:eastAsia="zh-CN"/>
                    </w:rPr>
                    <w:t>2个月</w:t>
                  </w:r>
                </w:p>
              </w:tc>
              <w:tc>
                <w:tcPr>
                  <w:tcW w:w="370" w:type="pct"/>
                  <w:tcBorders>
                    <w:top w:val="single" w:color="auto" w:sz="4" w:space="0"/>
                  </w:tcBorders>
                  <w:vAlign w:val="center"/>
                </w:tcPr>
                <w:p>
                  <w:pPr>
                    <w:pStyle w:val="66"/>
                    <w:spacing w:before="24" w:after="24"/>
                  </w:pPr>
                  <w:r>
                    <w:rPr>
                      <w:rFonts w:hint="eastAsia"/>
                      <w:lang w:eastAsia="zh-CN"/>
                    </w:rPr>
                    <w:t>T</w:t>
                  </w:r>
                </w:p>
              </w:tc>
              <w:tc>
                <w:tcPr>
                  <w:tcW w:w="448" w:type="pct"/>
                  <w:vAlign w:val="center"/>
                </w:tcPr>
                <w:p>
                  <w:pPr>
                    <w:pStyle w:val="66"/>
                    <w:spacing w:before="24" w:after="24"/>
                  </w:pPr>
                </w:p>
              </w:tc>
            </w:tr>
          </w:tbl>
          <w:p>
            <w:pPr>
              <w:tabs>
                <w:tab w:val="left" w:pos="675"/>
              </w:tabs>
              <w:ind w:firstLine="480"/>
              <w:rPr>
                <w:lang w:val="zh-CN"/>
              </w:rPr>
            </w:pPr>
          </w:p>
        </w:tc>
      </w:tr>
    </w:tbl>
    <w:p>
      <w:pPr>
        <w:ind w:firstLine="480"/>
        <w:rPr>
          <w:lang w:eastAsia="zh-CN"/>
        </w:rPr>
        <w:sectPr>
          <w:pgSz w:w="16838" w:h="11906" w:orient="landscape"/>
          <w:pgMar w:top="1800" w:right="1440" w:bottom="1800" w:left="1440" w:header="851" w:footer="992" w:gutter="0"/>
          <w:cols w:space="720" w:num="1"/>
          <w:docGrid w:type="lines" w:linePitch="326" w:charSpace="0"/>
        </w:sectPr>
      </w:pP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73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3" w:hRule="atLeast"/>
          <w:jc w:val="center"/>
        </w:trPr>
        <w:tc>
          <w:tcPr>
            <w:tcW w:w="694" w:type="pct"/>
            <w:vAlign w:val="center"/>
          </w:tcPr>
          <w:p>
            <w:pPr>
              <w:spacing w:line="240" w:lineRule="auto"/>
              <w:ind w:firstLine="0" w:firstLineChars="0"/>
              <w:jc w:val="center"/>
            </w:pPr>
            <w:r>
              <w:t>运营期环境影响和保护措施</w:t>
            </w:r>
          </w:p>
        </w:tc>
        <w:tc>
          <w:tcPr>
            <w:tcW w:w="4306" w:type="pct"/>
          </w:tcPr>
          <w:p>
            <w:pPr>
              <w:pStyle w:val="5"/>
              <w:rPr>
                <w:lang w:eastAsia="zh-CN"/>
              </w:rPr>
            </w:pPr>
            <w:r>
              <w:rPr>
                <w:rFonts w:hint="eastAsia"/>
                <w:lang w:eastAsia="zh-CN"/>
              </w:rPr>
              <w:t>固体废物环境管理要求</w:t>
            </w:r>
          </w:p>
          <w:p>
            <w:pPr>
              <w:ind w:firstLine="482"/>
              <w:rPr>
                <w:b/>
                <w:lang w:val="zh-CN"/>
              </w:rPr>
            </w:pPr>
            <w:r>
              <w:rPr>
                <w:rFonts w:hint="eastAsia"/>
                <w:b/>
                <w:lang w:val="zh-CN"/>
              </w:rPr>
              <w:t>（1）生活垃圾</w:t>
            </w:r>
          </w:p>
          <w:p>
            <w:pPr>
              <w:ind w:firstLine="480"/>
              <w:rPr>
                <w:lang w:val="zh-CN"/>
              </w:rPr>
            </w:pPr>
            <w:r>
              <w:rPr>
                <w:rFonts w:hint="eastAsia"/>
                <w:lang w:val="zh-CN"/>
              </w:rPr>
              <w:t>生活垃圾统一收集，交由环卫部门统一处理。</w:t>
            </w:r>
          </w:p>
          <w:p>
            <w:pPr>
              <w:ind w:firstLine="482"/>
              <w:rPr>
                <w:b/>
                <w:lang w:val="zh-CN"/>
              </w:rPr>
            </w:pPr>
            <w:r>
              <w:rPr>
                <w:rFonts w:hint="eastAsia"/>
                <w:b/>
                <w:lang w:val="zh-CN"/>
              </w:rPr>
              <w:t>（2）一般工业固体废物</w:t>
            </w:r>
          </w:p>
          <w:p>
            <w:pPr>
              <w:ind w:firstLine="480"/>
              <w:rPr>
                <w:lang w:val="zh-CN"/>
              </w:rPr>
            </w:pPr>
            <w:r>
              <w:rPr>
                <w:rFonts w:hint="eastAsia"/>
                <w:lang w:val="zh-CN"/>
              </w:rPr>
              <w:t>对于一般工业固体废物，在厂内采用库房或包装工具贮存，贮存过程应满足相应防渗漏、防雨淋、防扬尘等环境保护要求。提出如下环保措施：</w:t>
            </w:r>
          </w:p>
          <w:p>
            <w:pPr>
              <w:ind w:firstLine="480"/>
              <w:rPr>
                <w:lang w:val="zh-CN"/>
              </w:rPr>
            </w:pPr>
            <w:r>
              <w:rPr>
                <w:rFonts w:hint="eastAsia"/>
                <w:lang w:val="zh-CN"/>
              </w:rPr>
              <w:t>①为防止雨水径流进入贮存、处置场内，避免渗滤液量增加和滑坡，贮存、处置场周边应设置导流渠。</w:t>
            </w:r>
          </w:p>
          <w:p>
            <w:pPr>
              <w:ind w:firstLine="480"/>
              <w:rPr>
                <w:lang w:val="zh-CN"/>
              </w:rPr>
            </w:pPr>
            <w:r>
              <w:rPr>
                <w:rFonts w:hint="eastAsia"/>
                <w:lang w:val="zh-CN"/>
              </w:rPr>
              <w:t>②为加强监督管理，贮存、处置场应按《环境保护图形标志 固体废物贮存（处置）场》（GB15562.2-1995）设置环境保护图形标志。</w:t>
            </w:r>
          </w:p>
          <w:p>
            <w:pPr>
              <w:ind w:firstLine="480"/>
              <w:rPr>
                <w:lang w:val="zh-CN"/>
              </w:rPr>
            </w:pPr>
            <w:r>
              <w:rPr>
                <w:rFonts w:hint="eastAsia"/>
                <w:lang w:val="zh-CN"/>
              </w:rPr>
              <w:t>③贮存、处置场使用单位，应建立检查维护制度。定期检查维护堤、坝、挡土墙、导流渠等设施，发现有损坏可能或异常，应及时采取必要措施，以保障正常运行。</w:t>
            </w:r>
          </w:p>
          <w:p>
            <w:pPr>
              <w:ind w:firstLine="480"/>
              <w:rPr>
                <w:lang w:val="zh-CN"/>
              </w:rPr>
            </w:pPr>
            <w:r>
              <w:rPr>
                <w:rFonts w:hint="eastAsia"/>
                <w:lang w:val="zh-CN"/>
              </w:rPr>
              <w:t>④贮存、处置场的使用单位，应建立档案制度。应将入场的一般工业固体废物的种类和数量以及下列资料。详细记录在案，长期保存，供随时查阅。</w:t>
            </w:r>
          </w:p>
          <w:p>
            <w:pPr>
              <w:ind w:firstLine="482"/>
              <w:rPr>
                <w:b/>
                <w:lang w:val="zh-CN"/>
              </w:rPr>
            </w:pPr>
            <w:r>
              <w:rPr>
                <w:rFonts w:hint="eastAsia"/>
                <w:b/>
                <w:lang w:val="zh-CN"/>
              </w:rPr>
              <w:t>（3）危险废物</w:t>
            </w:r>
          </w:p>
          <w:p>
            <w:pPr>
              <w:ind w:firstLine="480"/>
              <w:rPr>
                <w:lang w:val="zh-CN"/>
              </w:rPr>
            </w:pPr>
            <w:r>
              <w:rPr>
                <w:rFonts w:hint="eastAsia"/>
                <w:lang w:val="zh-CN"/>
              </w:rPr>
              <w:t>根据《危险废物收集、贮存、运输技术规范》（HJ2025-2012）的相关要求，严格组织收集、贮存和运输。</w:t>
            </w:r>
          </w:p>
          <w:p>
            <w:pPr>
              <w:ind w:firstLine="480"/>
              <w:rPr>
                <w:lang w:val="zh-CN"/>
              </w:rPr>
            </w:pPr>
            <w:r>
              <w:rPr>
                <w:rFonts w:hint="eastAsia"/>
                <w:lang w:val="zh-CN"/>
              </w:rPr>
              <w:t>全程监管要求：</w:t>
            </w:r>
          </w:p>
          <w:p>
            <w:pPr>
              <w:ind w:firstLine="480"/>
              <w:rPr>
                <w:lang w:val="zh-CN"/>
              </w:rPr>
            </w:pPr>
            <w:r>
              <w:rPr>
                <w:rFonts w:hint="eastAsia"/>
                <w:lang w:val="zh-CN"/>
              </w:rPr>
              <w:t>建设单位运营过程应该对本项目产生的危险废物从收集、贮存、运输、利用、处置各环节进行全过程的监管，各环节应严格执行《危险废物收集、贮存、运输技术规范》（HJ2025-2012）的相关要求。</w:t>
            </w:r>
          </w:p>
          <w:p>
            <w:pPr>
              <w:ind w:firstLine="480"/>
              <w:rPr>
                <w:lang w:val="zh-CN"/>
              </w:rPr>
            </w:pPr>
            <w:r>
              <w:rPr>
                <w:rFonts w:hint="eastAsia"/>
                <w:lang w:val="zh-CN"/>
              </w:rPr>
              <w:t>危险废物暂存过程中应满足《危险废物贮存污染控制标准》（GB18597-2001）及2013修改单中的相关规定，危险废物的贮存容器须满足下列要求：</w:t>
            </w:r>
          </w:p>
          <w:p>
            <w:pPr>
              <w:ind w:firstLine="480"/>
              <w:rPr>
                <w:lang w:val="zh-CN"/>
              </w:rPr>
            </w:pPr>
            <w:r>
              <w:rPr>
                <w:rFonts w:hint="eastAsia"/>
                <w:lang w:val="zh-CN"/>
              </w:rPr>
              <w:t>①应当使用符合标准的容器盛装危险废物；</w:t>
            </w:r>
          </w:p>
          <w:p>
            <w:pPr>
              <w:ind w:firstLine="480"/>
              <w:rPr>
                <w:lang w:val="zh-CN"/>
              </w:rPr>
            </w:pPr>
            <w:r>
              <w:rPr>
                <w:rFonts w:hint="eastAsia"/>
                <w:lang w:val="zh-CN"/>
              </w:rPr>
              <w:t>②装载危险废物的容器及材质要满足相应的强度要求；</w:t>
            </w:r>
          </w:p>
          <w:p>
            <w:pPr>
              <w:ind w:firstLine="480"/>
              <w:rPr>
                <w:lang w:val="zh-CN"/>
              </w:rPr>
            </w:pPr>
            <w:r>
              <w:rPr>
                <w:rFonts w:hint="eastAsia"/>
                <w:lang w:val="zh-CN"/>
              </w:rPr>
              <w:t>③装载危险废物的容器必须完好无损；</w:t>
            </w:r>
          </w:p>
          <w:p>
            <w:pPr>
              <w:ind w:firstLine="480"/>
              <w:rPr>
                <w:lang w:val="zh-CN"/>
              </w:rPr>
            </w:pPr>
            <w:r>
              <w:rPr>
                <w:rFonts w:hint="eastAsia"/>
                <w:lang w:val="zh-CN"/>
              </w:rPr>
              <w:t>④盛装危险废物的容器材质不与危险废物相容（不相互反应）；</w:t>
            </w:r>
          </w:p>
          <w:p>
            <w:pPr>
              <w:ind w:firstLine="480"/>
              <w:rPr>
                <w:lang w:val="zh-CN"/>
              </w:rPr>
            </w:pPr>
            <w:r>
              <w:rPr>
                <w:rFonts w:hint="eastAsia"/>
                <w:lang w:val="zh-CN"/>
              </w:rPr>
              <w:t>⑤盛装危险废物的容器上必须粘贴符合标准附录A所示的标签。</w:t>
            </w:r>
          </w:p>
          <w:p>
            <w:pPr>
              <w:ind w:firstLine="482"/>
              <w:rPr>
                <w:b/>
                <w:lang w:val="zh-CN"/>
              </w:rPr>
            </w:pPr>
            <w:r>
              <w:rPr>
                <w:rFonts w:hint="eastAsia"/>
                <w:b/>
                <w:lang w:val="zh-CN"/>
              </w:rPr>
              <w:t>危险废物的收集要求：</w:t>
            </w:r>
          </w:p>
          <w:p>
            <w:pPr>
              <w:ind w:firstLine="480"/>
              <w:rPr>
                <w:lang w:val="zh-CN"/>
              </w:rPr>
            </w:pPr>
            <w:r>
              <w:rPr>
                <w:rFonts w:hint="eastAsia"/>
                <w:lang w:val="zh-CN"/>
              </w:rPr>
              <w:t>①性质类似的废物可收集到同一容器中、性质不相容的危险废物不应混合包装；</w:t>
            </w:r>
          </w:p>
          <w:p>
            <w:pPr>
              <w:ind w:firstLine="480"/>
              <w:rPr>
                <w:lang w:val="zh-CN"/>
              </w:rPr>
            </w:pPr>
            <w:r>
              <w:rPr>
                <w:rFonts w:hint="eastAsia"/>
                <w:lang w:val="zh-CN"/>
              </w:rPr>
              <w:t>②危险废物包装应能有效隔断危险废物迁移扩散途径，并达到防渗、防漏要求；</w:t>
            </w:r>
          </w:p>
          <w:p>
            <w:pPr>
              <w:ind w:firstLine="480"/>
              <w:rPr>
                <w:lang w:val="zh-CN"/>
              </w:rPr>
            </w:pPr>
            <w:r>
              <w:rPr>
                <w:rFonts w:hint="eastAsia"/>
                <w:lang w:val="zh-CN"/>
              </w:rPr>
              <w:t>③在危险废物的收集和转运过程中，应采取相应的安全防护和污染防治措施，包括防爆、防火、防渗漏、防风、防雨或其他防止污染环境的措施；</w:t>
            </w:r>
          </w:p>
          <w:p>
            <w:pPr>
              <w:ind w:firstLine="480"/>
              <w:rPr>
                <w:lang w:val="zh-CN"/>
              </w:rPr>
            </w:pPr>
            <w:r>
              <w:rPr>
                <w:rFonts w:hint="eastAsia"/>
                <w:lang w:val="zh-CN"/>
              </w:rPr>
              <w:t>④危险废物内部转运应综合考虑项目布局实际情况确定转运路线，尽量避开办公区；</w:t>
            </w:r>
          </w:p>
          <w:p>
            <w:pPr>
              <w:ind w:firstLine="480"/>
              <w:rPr>
                <w:lang w:val="zh-CN"/>
              </w:rPr>
            </w:pPr>
            <w:r>
              <w:rPr>
                <w:rFonts w:hint="eastAsia"/>
                <w:lang w:val="zh-CN"/>
              </w:rPr>
              <w:t>⑤危险废物内部转运结束后，应对转运路线进行检查和清理，确保无危险废物遗失在转运路线上；</w:t>
            </w:r>
          </w:p>
          <w:p>
            <w:pPr>
              <w:ind w:firstLine="480"/>
              <w:rPr>
                <w:lang w:val="zh-CN"/>
              </w:rPr>
            </w:pPr>
            <w:r>
              <w:rPr>
                <w:rFonts w:hint="eastAsia"/>
                <w:lang w:val="zh-CN"/>
              </w:rPr>
              <w:t>⑥收集过危险废物的容器、设备、设施、场所及其他物品转作他用时，应消除污染，确保其使用安全。</w:t>
            </w:r>
          </w:p>
          <w:p>
            <w:pPr>
              <w:ind w:firstLine="482"/>
              <w:rPr>
                <w:b/>
                <w:lang w:val="zh-CN"/>
              </w:rPr>
            </w:pPr>
            <w:r>
              <w:rPr>
                <w:rFonts w:hint="eastAsia"/>
                <w:b/>
                <w:lang w:val="zh-CN"/>
              </w:rPr>
              <w:t>危险废物贮存场所要求：</w:t>
            </w:r>
          </w:p>
          <w:p>
            <w:pPr>
              <w:ind w:firstLine="480"/>
              <w:rPr>
                <w:lang w:val="zh-CN"/>
              </w:rPr>
            </w:pPr>
            <w:r>
              <w:rPr>
                <w:rFonts w:hint="eastAsia"/>
                <w:lang w:val="zh-CN"/>
              </w:rPr>
              <w:t>项目运营期间产生的危险废物在贮存危险废物的容器上必须粘贴标签，标签内容应包括废物类别、行业来源、废物代码、危险废物和危险特性。为降低危废渗漏的影响，建设单位拟在危废暂存点设置防水、防腐特殊保护层，危险废物在厂区内收集后，暂存于防风、防雨、防晒、防渗的危废暂存场所。</w:t>
            </w:r>
          </w:p>
          <w:p>
            <w:pPr>
              <w:ind w:firstLine="480"/>
              <w:rPr>
                <w:lang w:val="zh-CN"/>
              </w:rPr>
            </w:pPr>
            <w:r>
              <w:rPr>
                <w:rFonts w:hint="eastAsia"/>
                <w:lang w:val="zh-CN"/>
              </w:rPr>
              <w:t>危险废物在堆放时若管理不当容易发生扩散和泄漏，进而对环境造成污染，甚至损害人们的健康。因此，根据《危险废物贮存污染控制标准》（GB18597-2001）及2013年修改清单的相关要求，本评价建议项目落实以下措施：</w:t>
            </w:r>
          </w:p>
          <w:p>
            <w:pPr>
              <w:ind w:firstLine="480"/>
              <w:rPr>
                <w:lang w:val="zh-CN"/>
              </w:rPr>
            </w:pPr>
            <w:r>
              <w:rPr>
                <w:rFonts w:hint="eastAsia"/>
                <w:lang w:val="zh-CN"/>
              </w:rPr>
              <w:t>①危险废物集中贮存场所的选址位于项目1楼内东面，高于地下水最高水位。</w:t>
            </w:r>
          </w:p>
          <w:p>
            <w:pPr>
              <w:ind w:firstLine="480"/>
              <w:rPr>
                <w:lang w:val="zh-CN"/>
              </w:rPr>
            </w:pPr>
            <w:r>
              <w:rPr>
                <w:rFonts w:hint="eastAsia"/>
                <w:lang w:val="zh-CN"/>
              </w:rPr>
              <w:t>②危险废物贮存设施要用坚固、防渗的材料建造，建筑材料必须与危险废物相容。</w:t>
            </w:r>
          </w:p>
          <w:p>
            <w:pPr>
              <w:ind w:firstLine="480"/>
              <w:rPr>
                <w:lang w:val="zh-CN"/>
              </w:rPr>
            </w:pPr>
            <w:r>
              <w:rPr>
                <w:rFonts w:hint="eastAsia"/>
                <w:lang w:val="zh-CN"/>
              </w:rPr>
              <w:t>③堆放地点基础必须防渗，防渗层为2mm厚高密度聚乙烯，或至少2mm厚的其他人工材料（渗透系数≤10-10cm/s）。</w:t>
            </w:r>
          </w:p>
          <w:p>
            <w:pPr>
              <w:ind w:firstLine="480"/>
              <w:rPr>
                <w:lang w:val="zh-CN"/>
              </w:rPr>
            </w:pPr>
            <w:r>
              <w:rPr>
                <w:rFonts w:hint="eastAsia"/>
                <w:lang w:val="zh-CN"/>
              </w:rPr>
              <w:t>④危险废物堆放要防风、防雨、防晒。</w:t>
            </w:r>
          </w:p>
          <w:p>
            <w:pPr>
              <w:ind w:firstLine="480"/>
              <w:rPr>
                <w:lang w:val="zh-CN"/>
              </w:rPr>
            </w:pPr>
            <w:r>
              <w:rPr>
                <w:rFonts w:hint="eastAsia"/>
                <w:lang w:val="zh-CN"/>
              </w:rPr>
              <w:t>建设项目危险废物储存场所基本情况见下表。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23</w:t>
            </w:r>
            <w:r>
              <w:fldChar w:fldCharType="end"/>
            </w:r>
            <w:r>
              <w:rPr>
                <w:rFonts w:hint="eastAsia"/>
              </w:rPr>
              <w:t>项目危险废物储存场所基本情况</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578"/>
              <w:gridCol w:w="768"/>
              <w:gridCol w:w="1048"/>
              <w:gridCol w:w="1196"/>
              <w:gridCol w:w="426"/>
              <w:gridCol w:w="920"/>
              <w:gridCol w:w="552"/>
              <w:gridCol w:w="672"/>
              <w:gridCol w:w="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8" w:type="dxa"/>
                  <w:vAlign w:val="center"/>
                </w:tcPr>
                <w:p>
                  <w:pPr>
                    <w:pStyle w:val="66"/>
                  </w:pPr>
                  <w:r>
                    <w:t>序号</w:t>
                  </w:r>
                </w:p>
              </w:tc>
              <w:tc>
                <w:tcPr>
                  <w:tcW w:w="639" w:type="dxa"/>
                  <w:vAlign w:val="center"/>
                </w:tcPr>
                <w:p>
                  <w:pPr>
                    <w:pStyle w:val="66"/>
                  </w:pPr>
                  <w:r>
                    <w:t>贮存场所名称</w:t>
                  </w:r>
                </w:p>
              </w:tc>
              <w:tc>
                <w:tcPr>
                  <w:tcW w:w="904" w:type="dxa"/>
                  <w:vAlign w:val="center"/>
                </w:tcPr>
                <w:p>
                  <w:pPr>
                    <w:pStyle w:val="66"/>
                  </w:pPr>
                  <w:r>
                    <w:t>危险废物名称</w:t>
                  </w:r>
                </w:p>
              </w:tc>
              <w:tc>
                <w:tcPr>
                  <w:tcW w:w="1156" w:type="dxa"/>
                  <w:vAlign w:val="center"/>
                </w:tcPr>
                <w:p>
                  <w:pPr>
                    <w:pStyle w:val="66"/>
                  </w:pPr>
                  <w:r>
                    <w:t>危险废物类别</w:t>
                  </w:r>
                </w:p>
              </w:tc>
              <w:tc>
                <w:tcPr>
                  <w:tcW w:w="809" w:type="dxa"/>
                  <w:vAlign w:val="center"/>
                </w:tcPr>
                <w:p>
                  <w:pPr>
                    <w:pStyle w:val="66"/>
                  </w:pPr>
                  <w:r>
                    <w:t>危险废物代码</w:t>
                  </w:r>
                </w:p>
              </w:tc>
              <w:tc>
                <w:tcPr>
                  <w:tcW w:w="426" w:type="dxa"/>
                  <w:vAlign w:val="center"/>
                </w:tcPr>
                <w:p>
                  <w:pPr>
                    <w:pStyle w:val="66"/>
                  </w:pPr>
                  <w:r>
                    <w:t>位置</w:t>
                  </w:r>
                </w:p>
              </w:tc>
              <w:tc>
                <w:tcPr>
                  <w:tcW w:w="702" w:type="dxa"/>
                  <w:vAlign w:val="center"/>
                </w:tcPr>
                <w:p>
                  <w:pPr>
                    <w:pStyle w:val="66"/>
                  </w:pPr>
                  <w:r>
                    <w:t>占地面积</w:t>
                  </w:r>
                </w:p>
              </w:tc>
              <w:tc>
                <w:tcPr>
                  <w:tcW w:w="602" w:type="dxa"/>
                  <w:vAlign w:val="center"/>
                </w:tcPr>
                <w:p>
                  <w:pPr>
                    <w:pStyle w:val="66"/>
                  </w:pPr>
                  <w:r>
                    <w:t>贮存方式</w:t>
                  </w:r>
                </w:p>
              </w:tc>
              <w:tc>
                <w:tcPr>
                  <w:tcW w:w="678" w:type="dxa"/>
                  <w:vAlign w:val="center"/>
                </w:tcPr>
                <w:p>
                  <w:pPr>
                    <w:pStyle w:val="66"/>
                  </w:pPr>
                  <w:r>
                    <w:t>贮存能力</w:t>
                  </w:r>
                </w:p>
              </w:tc>
              <w:tc>
                <w:tcPr>
                  <w:tcW w:w="566" w:type="dxa"/>
                  <w:vAlign w:val="center"/>
                </w:tcPr>
                <w:p>
                  <w:pPr>
                    <w:pStyle w:val="66"/>
                  </w:pPr>
                  <w:r>
                    <w:t>贮存周期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8" w:type="dxa"/>
                  <w:vAlign w:val="center"/>
                </w:tcPr>
                <w:p>
                  <w:pPr>
                    <w:pStyle w:val="66"/>
                  </w:pPr>
                  <w:r>
                    <w:t>1</w:t>
                  </w:r>
                </w:p>
              </w:tc>
              <w:tc>
                <w:tcPr>
                  <w:tcW w:w="639" w:type="dxa"/>
                  <w:vMerge w:val="restart"/>
                  <w:vAlign w:val="center"/>
                </w:tcPr>
                <w:p>
                  <w:pPr>
                    <w:pStyle w:val="66"/>
                  </w:pPr>
                  <w:r>
                    <w:rPr>
                      <w:rFonts w:hint="eastAsia"/>
                    </w:rPr>
                    <w:t>危险废物暂存间</w:t>
                  </w:r>
                </w:p>
              </w:tc>
              <w:tc>
                <w:tcPr>
                  <w:tcW w:w="904" w:type="dxa"/>
                  <w:vAlign w:val="center"/>
                </w:tcPr>
                <w:p>
                  <w:pPr>
                    <w:pStyle w:val="66"/>
                  </w:pPr>
                  <w:r>
                    <w:rPr>
                      <w:rFonts w:hint="eastAsia"/>
                    </w:rPr>
                    <w:t>废样本及检测废液</w:t>
                  </w:r>
                </w:p>
              </w:tc>
              <w:tc>
                <w:tcPr>
                  <w:tcW w:w="1156" w:type="dxa"/>
                  <w:tcBorders>
                    <w:bottom w:val="single" w:color="000000" w:sz="8" w:space="0"/>
                  </w:tcBorders>
                  <w:vAlign w:val="center"/>
                </w:tcPr>
                <w:p>
                  <w:pPr>
                    <w:pStyle w:val="66"/>
                  </w:pPr>
                  <w:r>
                    <w:rPr>
                      <w:rFonts w:hint="eastAsia"/>
                      <w:lang w:val="en-US"/>
                    </w:rPr>
                    <w:t>HW01医疗废物</w:t>
                  </w:r>
                </w:p>
              </w:tc>
              <w:tc>
                <w:tcPr>
                  <w:tcW w:w="809" w:type="dxa"/>
                  <w:vAlign w:val="center"/>
                </w:tcPr>
                <w:p>
                  <w:pPr>
                    <w:pStyle w:val="66"/>
                  </w:pPr>
                  <w:r>
                    <w:rPr>
                      <w:rFonts w:hint="eastAsia"/>
                    </w:rPr>
                    <w:t>841-001-01</w:t>
                  </w:r>
                </w:p>
              </w:tc>
              <w:tc>
                <w:tcPr>
                  <w:tcW w:w="426" w:type="dxa"/>
                  <w:vMerge w:val="restart"/>
                  <w:vAlign w:val="center"/>
                </w:tcPr>
                <w:p>
                  <w:pPr>
                    <w:pStyle w:val="66"/>
                  </w:pPr>
                  <w:r>
                    <w:t>1</w:t>
                  </w:r>
                  <w:r>
                    <w:rPr>
                      <w:rFonts w:hint="eastAsia"/>
                      <w:lang w:eastAsia="zh-CN"/>
                    </w:rPr>
                    <w:t>楼东侧面</w:t>
                  </w:r>
                </w:p>
              </w:tc>
              <w:tc>
                <w:tcPr>
                  <w:tcW w:w="702" w:type="dxa"/>
                  <w:vMerge w:val="restart"/>
                  <w:vAlign w:val="center"/>
                </w:tcPr>
                <w:p>
                  <w:pPr>
                    <w:pStyle w:val="66"/>
                  </w:pPr>
                  <w:r>
                    <w:rPr>
                      <w:rFonts w:hint="eastAsia"/>
                    </w:rPr>
                    <w:t>1</w:t>
                  </w:r>
                  <w:r>
                    <w:t>7.13m</w:t>
                  </w:r>
                  <w:r>
                    <w:rPr>
                      <w:vertAlign w:val="superscript"/>
                    </w:rPr>
                    <w:t>2</w:t>
                  </w:r>
                </w:p>
              </w:tc>
              <w:tc>
                <w:tcPr>
                  <w:tcW w:w="602" w:type="dxa"/>
                  <w:vAlign w:val="center"/>
                </w:tcPr>
                <w:p>
                  <w:pPr>
                    <w:pStyle w:val="66"/>
                  </w:pPr>
                  <w:r>
                    <w:rPr>
                      <w:rFonts w:hint="eastAsia"/>
                    </w:rPr>
                    <w:t>桶装</w:t>
                  </w:r>
                </w:p>
              </w:tc>
              <w:tc>
                <w:tcPr>
                  <w:tcW w:w="678" w:type="dxa"/>
                  <w:vMerge w:val="restart"/>
                  <w:vAlign w:val="center"/>
                </w:tcPr>
                <w:p>
                  <w:pPr>
                    <w:pStyle w:val="66"/>
                  </w:pPr>
                  <w:r>
                    <w:t>20m</w:t>
                  </w:r>
                  <w:r>
                    <w:rPr>
                      <w:vertAlign w:val="superscript"/>
                    </w:rPr>
                    <w:t>3</w:t>
                  </w:r>
                </w:p>
              </w:tc>
              <w:tc>
                <w:tcPr>
                  <w:tcW w:w="566" w:type="dxa"/>
                  <w:tcBorders>
                    <w:bottom w:val="single" w:color="auto" w:sz="4" w:space="0"/>
                  </w:tcBorders>
                  <w:vAlign w:val="center"/>
                </w:tcPr>
                <w:p>
                  <w:pPr>
                    <w:pStyle w:val="66"/>
                  </w:pPr>
                  <w:r>
                    <w:rPr>
                      <w:rFonts w:hint="eastAsia"/>
                    </w:rPr>
                    <w:t>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8" w:type="dxa"/>
                  <w:vAlign w:val="center"/>
                </w:tcPr>
                <w:p>
                  <w:pPr>
                    <w:pStyle w:val="66"/>
                  </w:pPr>
                  <w:r>
                    <w:t>2</w:t>
                  </w:r>
                </w:p>
              </w:tc>
              <w:tc>
                <w:tcPr>
                  <w:tcW w:w="639" w:type="dxa"/>
                  <w:vMerge w:val="continue"/>
                  <w:vAlign w:val="center"/>
                </w:tcPr>
                <w:p>
                  <w:pPr>
                    <w:pStyle w:val="66"/>
                  </w:pPr>
                </w:p>
              </w:tc>
              <w:tc>
                <w:tcPr>
                  <w:tcW w:w="904" w:type="dxa"/>
                  <w:tcBorders>
                    <w:bottom w:val="single" w:color="000000" w:sz="8" w:space="0"/>
                  </w:tcBorders>
                  <w:vAlign w:val="center"/>
                </w:tcPr>
                <w:p>
                  <w:pPr>
                    <w:pStyle w:val="66"/>
                  </w:pPr>
                  <w:r>
                    <w:rPr>
                      <w:rFonts w:hint="eastAsia"/>
                    </w:rPr>
                    <w:t>废试剂盒</w:t>
                  </w:r>
                </w:p>
              </w:tc>
              <w:tc>
                <w:tcPr>
                  <w:tcW w:w="1156" w:type="dxa"/>
                  <w:tcBorders>
                    <w:top w:val="single" w:color="000000" w:sz="8" w:space="0"/>
                    <w:bottom w:val="single" w:color="000000" w:sz="8" w:space="0"/>
                  </w:tcBorders>
                  <w:vAlign w:val="center"/>
                </w:tcPr>
                <w:p>
                  <w:pPr>
                    <w:pStyle w:val="66"/>
                  </w:pPr>
                  <w:r>
                    <w:rPr>
                      <w:rFonts w:hint="eastAsia"/>
                      <w:lang w:val="en-US"/>
                    </w:rPr>
                    <w:t>HW49其他废物</w:t>
                  </w:r>
                </w:p>
              </w:tc>
              <w:tc>
                <w:tcPr>
                  <w:tcW w:w="809" w:type="dxa"/>
                  <w:vAlign w:val="center"/>
                </w:tcPr>
                <w:p>
                  <w:pPr>
                    <w:pStyle w:val="66"/>
                  </w:pPr>
                  <w:r>
                    <w:rPr>
                      <w:rFonts w:hint="eastAsia"/>
                    </w:rPr>
                    <w:t>900-047-49</w:t>
                  </w:r>
                </w:p>
              </w:tc>
              <w:tc>
                <w:tcPr>
                  <w:tcW w:w="426" w:type="dxa"/>
                  <w:vMerge w:val="continue"/>
                  <w:vAlign w:val="center"/>
                </w:tcPr>
                <w:p>
                  <w:pPr>
                    <w:pStyle w:val="66"/>
                  </w:pPr>
                </w:p>
              </w:tc>
              <w:tc>
                <w:tcPr>
                  <w:tcW w:w="702" w:type="dxa"/>
                  <w:vMerge w:val="continue"/>
                  <w:vAlign w:val="center"/>
                </w:tcPr>
                <w:p>
                  <w:pPr>
                    <w:pStyle w:val="66"/>
                  </w:pPr>
                </w:p>
              </w:tc>
              <w:tc>
                <w:tcPr>
                  <w:tcW w:w="602" w:type="dxa"/>
                  <w:vAlign w:val="center"/>
                </w:tcPr>
                <w:p>
                  <w:pPr>
                    <w:pStyle w:val="66"/>
                  </w:pPr>
                  <w:r>
                    <w:rPr>
                      <w:rFonts w:hint="eastAsia"/>
                      <w:lang w:eastAsia="zh-CN"/>
                    </w:rPr>
                    <w:t>袋</w:t>
                  </w:r>
                  <w:r>
                    <w:rPr>
                      <w:rFonts w:hint="eastAsia"/>
                    </w:rPr>
                    <w:t>装</w:t>
                  </w:r>
                </w:p>
              </w:tc>
              <w:tc>
                <w:tcPr>
                  <w:tcW w:w="678" w:type="dxa"/>
                  <w:vMerge w:val="continue"/>
                  <w:vAlign w:val="center"/>
                </w:tcPr>
                <w:p>
                  <w:pPr>
                    <w:pStyle w:val="66"/>
                  </w:pPr>
                </w:p>
              </w:tc>
              <w:tc>
                <w:tcPr>
                  <w:tcW w:w="566" w:type="dxa"/>
                  <w:tcBorders>
                    <w:top w:val="single" w:color="auto" w:sz="4" w:space="0"/>
                    <w:bottom w:val="single" w:color="auto" w:sz="4" w:space="0"/>
                  </w:tcBorders>
                  <w:vAlign w:val="center"/>
                </w:tcPr>
                <w:p>
                  <w:pPr>
                    <w:pStyle w:val="66"/>
                  </w:pPr>
                  <w:r>
                    <w:rPr>
                      <w:rFonts w:hint="eastAsia"/>
                    </w:rPr>
                    <w:t>15天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8" w:type="dxa"/>
                  <w:vAlign w:val="center"/>
                </w:tcPr>
                <w:p>
                  <w:pPr>
                    <w:pStyle w:val="66"/>
                  </w:pPr>
                  <w:r>
                    <w:t>3</w:t>
                  </w:r>
                </w:p>
              </w:tc>
              <w:tc>
                <w:tcPr>
                  <w:tcW w:w="639" w:type="dxa"/>
                  <w:vMerge w:val="continue"/>
                  <w:vAlign w:val="center"/>
                </w:tcPr>
                <w:p>
                  <w:pPr>
                    <w:pStyle w:val="66"/>
                  </w:pPr>
                </w:p>
              </w:tc>
              <w:tc>
                <w:tcPr>
                  <w:tcW w:w="904" w:type="dxa"/>
                  <w:tcBorders>
                    <w:top w:val="single" w:color="000000" w:sz="8" w:space="0"/>
                  </w:tcBorders>
                  <w:vAlign w:val="center"/>
                </w:tcPr>
                <w:p>
                  <w:pPr>
                    <w:pStyle w:val="66"/>
                  </w:pPr>
                  <w:r>
                    <w:rPr>
                      <w:rFonts w:hint="eastAsia"/>
                    </w:rPr>
                    <w:t>废弃一次性实验用品</w:t>
                  </w:r>
                </w:p>
              </w:tc>
              <w:tc>
                <w:tcPr>
                  <w:tcW w:w="1156" w:type="dxa"/>
                  <w:tcBorders>
                    <w:top w:val="single" w:color="000000" w:sz="8" w:space="0"/>
                    <w:bottom w:val="single" w:color="000000" w:sz="8" w:space="0"/>
                  </w:tcBorders>
                  <w:vAlign w:val="center"/>
                </w:tcPr>
                <w:p>
                  <w:pPr>
                    <w:pStyle w:val="66"/>
                  </w:pPr>
                  <w:r>
                    <w:rPr>
                      <w:rFonts w:hint="eastAsia"/>
                      <w:lang w:val="en-US"/>
                    </w:rPr>
                    <w:t>HW01医疗废物</w:t>
                  </w:r>
                </w:p>
              </w:tc>
              <w:tc>
                <w:tcPr>
                  <w:tcW w:w="809" w:type="dxa"/>
                  <w:vAlign w:val="center"/>
                </w:tcPr>
                <w:p>
                  <w:pPr>
                    <w:pStyle w:val="66"/>
                  </w:pPr>
                  <w:r>
                    <w:t>841-</w:t>
                  </w:r>
                  <w:r>
                    <w:rPr>
                      <w:rFonts w:hint="eastAsia"/>
                    </w:rPr>
                    <w:t>0</w:t>
                  </w:r>
                  <w:r>
                    <w:t>0</w:t>
                  </w:r>
                  <w:r>
                    <w:rPr>
                      <w:rFonts w:hint="eastAsia"/>
                    </w:rPr>
                    <w:t>1</w:t>
                  </w:r>
                  <w:r>
                    <w:t>-01</w:t>
                  </w:r>
                </w:p>
              </w:tc>
              <w:tc>
                <w:tcPr>
                  <w:tcW w:w="426" w:type="dxa"/>
                  <w:vMerge w:val="continue"/>
                  <w:vAlign w:val="center"/>
                </w:tcPr>
                <w:p>
                  <w:pPr>
                    <w:pStyle w:val="66"/>
                  </w:pPr>
                </w:p>
              </w:tc>
              <w:tc>
                <w:tcPr>
                  <w:tcW w:w="702" w:type="dxa"/>
                  <w:vMerge w:val="continue"/>
                  <w:vAlign w:val="center"/>
                </w:tcPr>
                <w:p>
                  <w:pPr>
                    <w:pStyle w:val="66"/>
                  </w:pPr>
                </w:p>
              </w:tc>
              <w:tc>
                <w:tcPr>
                  <w:tcW w:w="602" w:type="dxa"/>
                  <w:vAlign w:val="center"/>
                </w:tcPr>
                <w:p>
                  <w:pPr>
                    <w:pStyle w:val="66"/>
                  </w:pPr>
                  <w:r>
                    <w:rPr>
                      <w:rFonts w:hint="eastAsia"/>
                      <w:lang w:eastAsia="zh-CN"/>
                    </w:rPr>
                    <w:t>袋</w:t>
                  </w:r>
                  <w:r>
                    <w:rPr>
                      <w:rFonts w:hint="eastAsia"/>
                    </w:rPr>
                    <w:t>装</w:t>
                  </w:r>
                </w:p>
              </w:tc>
              <w:tc>
                <w:tcPr>
                  <w:tcW w:w="678" w:type="dxa"/>
                  <w:vMerge w:val="continue"/>
                  <w:vAlign w:val="center"/>
                </w:tcPr>
                <w:p>
                  <w:pPr>
                    <w:pStyle w:val="66"/>
                  </w:pPr>
                </w:p>
              </w:tc>
              <w:tc>
                <w:tcPr>
                  <w:tcW w:w="566" w:type="dxa"/>
                  <w:tcBorders>
                    <w:top w:val="single" w:color="auto" w:sz="4" w:space="0"/>
                    <w:bottom w:val="single" w:color="auto" w:sz="4" w:space="0"/>
                  </w:tcBorders>
                  <w:vAlign w:val="center"/>
                </w:tcPr>
                <w:p>
                  <w:pPr>
                    <w:pStyle w:val="66"/>
                  </w:pPr>
                  <w:r>
                    <w:rPr>
                      <w:rFonts w:hint="eastAsia"/>
                    </w:rPr>
                    <w:t>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8" w:type="dxa"/>
                  <w:vAlign w:val="center"/>
                </w:tcPr>
                <w:p>
                  <w:pPr>
                    <w:pStyle w:val="66"/>
                  </w:pPr>
                  <w:r>
                    <w:t>4</w:t>
                  </w:r>
                </w:p>
              </w:tc>
              <w:tc>
                <w:tcPr>
                  <w:tcW w:w="639" w:type="dxa"/>
                  <w:vMerge w:val="continue"/>
                  <w:vAlign w:val="center"/>
                </w:tcPr>
                <w:p>
                  <w:pPr>
                    <w:pStyle w:val="66"/>
                  </w:pPr>
                </w:p>
              </w:tc>
              <w:tc>
                <w:tcPr>
                  <w:tcW w:w="904" w:type="dxa"/>
                  <w:vAlign w:val="center"/>
                </w:tcPr>
                <w:p>
                  <w:pPr>
                    <w:pStyle w:val="66"/>
                  </w:pPr>
                  <w:r>
                    <w:rPr>
                      <w:rFonts w:hint="eastAsia"/>
                    </w:rPr>
                    <w:t>废弃防护服</w:t>
                  </w:r>
                </w:p>
              </w:tc>
              <w:tc>
                <w:tcPr>
                  <w:tcW w:w="1156" w:type="dxa"/>
                  <w:tcBorders>
                    <w:top w:val="single" w:color="000000" w:sz="8" w:space="0"/>
                    <w:bottom w:val="single" w:color="000000" w:sz="8" w:space="0"/>
                  </w:tcBorders>
                  <w:vAlign w:val="center"/>
                </w:tcPr>
                <w:p>
                  <w:pPr>
                    <w:pStyle w:val="66"/>
                  </w:pPr>
                  <w:r>
                    <w:rPr>
                      <w:rFonts w:hint="eastAsia"/>
                      <w:lang w:val="en-US"/>
                    </w:rPr>
                    <w:t>HW01医疗废物</w:t>
                  </w:r>
                </w:p>
              </w:tc>
              <w:tc>
                <w:tcPr>
                  <w:tcW w:w="809" w:type="dxa"/>
                  <w:vAlign w:val="center"/>
                </w:tcPr>
                <w:p>
                  <w:pPr>
                    <w:pStyle w:val="66"/>
                  </w:pPr>
                  <w:r>
                    <w:t>841-</w:t>
                  </w:r>
                  <w:r>
                    <w:rPr>
                      <w:rFonts w:hint="eastAsia"/>
                    </w:rPr>
                    <w:t>0</w:t>
                  </w:r>
                  <w:r>
                    <w:t>0</w:t>
                  </w:r>
                  <w:r>
                    <w:rPr>
                      <w:rFonts w:hint="eastAsia"/>
                    </w:rPr>
                    <w:t>1</w:t>
                  </w:r>
                  <w:r>
                    <w:t>-01</w:t>
                  </w:r>
                </w:p>
              </w:tc>
              <w:tc>
                <w:tcPr>
                  <w:tcW w:w="426" w:type="dxa"/>
                  <w:vMerge w:val="continue"/>
                  <w:vAlign w:val="center"/>
                </w:tcPr>
                <w:p>
                  <w:pPr>
                    <w:pStyle w:val="66"/>
                  </w:pPr>
                </w:p>
              </w:tc>
              <w:tc>
                <w:tcPr>
                  <w:tcW w:w="702" w:type="dxa"/>
                  <w:vMerge w:val="continue"/>
                  <w:vAlign w:val="center"/>
                </w:tcPr>
                <w:p>
                  <w:pPr>
                    <w:pStyle w:val="66"/>
                  </w:pPr>
                </w:p>
              </w:tc>
              <w:tc>
                <w:tcPr>
                  <w:tcW w:w="602" w:type="dxa"/>
                  <w:vAlign w:val="center"/>
                </w:tcPr>
                <w:p>
                  <w:pPr>
                    <w:pStyle w:val="66"/>
                  </w:pPr>
                  <w:r>
                    <w:rPr>
                      <w:rFonts w:hint="eastAsia"/>
                      <w:lang w:eastAsia="zh-CN"/>
                    </w:rPr>
                    <w:t>袋</w:t>
                  </w:r>
                  <w:r>
                    <w:rPr>
                      <w:rFonts w:hint="eastAsia"/>
                    </w:rPr>
                    <w:t>装</w:t>
                  </w:r>
                </w:p>
              </w:tc>
              <w:tc>
                <w:tcPr>
                  <w:tcW w:w="678" w:type="dxa"/>
                  <w:vMerge w:val="continue"/>
                  <w:vAlign w:val="center"/>
                </w:tcPr>
                <w:p>
                  <w:pPr>
                    <w:pStyle w:val="66"/>
                  </w:pPr>
                </w:p>
              </w:tc>
              <w:tc>
                <w:tcPr>
                  <w:tcW w:w="566" w:type="dxa"/>
                  <w:tcBorders>
                    <w:top w:val="single" w:color="auto" w:sz="4" w:space="0"/>
                    <w:bottom w:val="single" w:color="auto" w:sz="4" w:space="0"/>
                  </w:tcBorders>
                  <w:vAlign w:val="center"/>
                </w:tcPr>
                <w:p>
                  <w:pPr>
                    <w:pStyle w:val="66"/>
                  </w:pPr>
                  <w:r>
                    <w:rPr>
                      <w:rFonts w:hint="eastAsia"/>
                    </w:rPr>
                    <w:t>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8" w:type="dxa"/>
                  <w:vAlign w:val="center"/>
                </w:tcPr>
                <w:p>
                  <w:pPr>
                    <w:pStyle w:val="66"/>
                  </w:pPr>
                  <w:r>
                    <w:rPr>
                      <w:rFonts w:hint="eastAsia"/>
                    </w:rPr>
                    <w:t>5</w:t>
                  </w:r>
                </w:p>
              </w:tc>
              <w:tc>
                <w:tcPr>
                  <w:tcW w:w="639" w:type="dxa"/>
                  <w:vMerge w:val="continue"/>
                  <w:vAlign w:val="center"/>
                </w:tcPr>
                <w:p>
                  <w:pPr>
                    <w:pStyle w:val="66"/>
                  </w:pPr>
                </w:p>
              </w:tc>
              <w:tc>
                <w:tcPr>
                  <w:tcW w:w="904" w:type="dxa"/>
                  <w:vAlign w:val="center"/>
                </w:tcPr>
                <w:p>
                  <w:pPr>
                    <w:pStyle w:val="66"/>
                  </w:pPr>
                  <w:r>
                    <w:rPr>
                      <w:rFonts w:hint="eastAsia"/>
                    </w:rPr>
                    <w:t>废过滤器</w:t>
                  </w:r>
                </w:p>
              </w:tc>
              <w:tc>
                <w:tcPr>
                  <w:tcW w:w="1156" w:type="dxa"/>
                  <w:tcBorders>
                    <w:top w:val="single" w:color="000000" w:sz="8" w:space="0"/>
                    <w:bottom w:val="single" w:color="000000" w:sz="8" w:space="0"/>
                  </w:tcBorders>
                  <w:vAlign w:val="center"/>
                </w:tcPr>
                <w:p>
                  <w:pPr>
                    <w:pStyle w:val="66"/>
                  </w:pPr>
                  <w:r>
                    <w:rPr>
                      <w:rFonts w:hint="eastAsia"/>
                      <w:lang w:val="en-US"/>
                    </w:rPr>
                    <w:t>HW49其他废物</w:t>
                  </w:r>
                </w:p>
              </w:tc>
              <w:tc>
                <w:tcPr>
                  <w:tcW w:w="809" w:type="dxa"/>
                  <w:vAlign w:val="center"/>
                </w:tcPr>
                <w:p>
                  <w:pPr>
                    <w:pStyle w:val="66"/>
                  </w:pPr>
                  <w:r>
                    <w:rPr>
                      <w:rFonts w:hint="eastAsia"/>
                    </w:rPr>
                    <w:t>900-041-49</w:t>
                  </w:r>
                </w:p>
              </w:tc>
              <w:tc>
                <w:tcPr>
                  <w:tcW w:w="426" w:type="dxa"/>
                  <w:vMerge w:val="continue"/>
                  <w:vAlign w:val="center"/>
                </w:tcPr>
                <w:p>
                  <w:pPr>
                    <w:pStyle w:val="66"/>
                  </w:pPr>
                </w:p>
              </w:tc>
              <w:tc>
                <w:tcPr>
                  <w:tcW w:w="702" w:type="dxa"/>
                  <w:vMerge w:val="continue"/>
                  <w:vAlign w:val="center"/>
                </w:tcPr>
                <w:p>
                  <w:pPr>
                    <w:pStyle w:val="66"/>
                  </w:pPr>
                </w:p>
              </w:tc>
              <w:tc>
                <w:tcPr>
                  <w:tcW w:w="602" w:type="dxa"/>
                  <w:vAlign w:val="center"/>
                </w:tcPr>
                <w:p>
                  <w:pPr>
                    <w:pStyle w:val="66"/>
                  </w:pPr>
                  <w:r>
                    <w:rPr>
                      <w:rFonts w:hint="eastAsia"/>
                      <w:lang w:eastAsia="zh-CN"/>
                    </w:rPr>
                    <w:t>袋</w:t>
                  </w:r>
                  <w:r>
                    <w:rPr>
                      <w:rFonts w:hint="eastAsia"/>
                    </w:rPr>
                    <w:t>装</w:t>
                  </w:r>
                </w:p>
              </w:tc>
              <w:tc>
                <w:tcPr>
                  <w:tcW w:w="678" w:type="dxa"/>
                  <w:vMerge w:val="continue"/>
                  <w:vAlign w:val="center"/>
                </w:tcPr>
                <w:p>
                  <w:pPr>
                    <w:pStyle w:val="66"/>
                  </w:pPr>
                </w:p>
              </w:tc>
              <w:tc>
                <w:tcPr>
                  <w:tcW w:w="566" w:type="dxa"/>
                  <w:tcBorders>
                    <w:top w:val="single" w:color="auto" w:sz="4" w:space="0"/>
                    <w:bottom w:val="single" w:color="auto" w:sz="4" w:space="0"/>
                  </w:tcBorders>
                  <w:vAlign w:val="center"/>
                </w:tcPr>
                <w:p>
                  <w:pPr>
                    <w:pStyle w:val="66"/>
                  </w:pPr>
                  <w:r>
                    <w:rPr>
                      <w:rFonts w:hint="eastAsia"/>
                    </w:rPr>
                    <w:t>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8" w:type="dxa"/>
                  <w:vAlign w:val="center"/>
                </w:tcPr>
                <w:p>
                  <w:pPr>
                    <w:pStyle w:val="66"/>
                  </w:pPr>
                  <w:r>
                    <w:rPr>
                      <w:rFonts w:hint="eastAsia"/>
                    </w:rPr>
                    <w:t>6</w:t>
                  </w:r>
                </w:p>
              </w:tc>
              <w:tc>
                <w:tcPr>
                  <w:tcW w:w="639" w:type="dxa"/>
                  <w:vMerge w:val="continue"/>
                  <w:vAlign w:val="center"/>
                </w:tcPr>
                <w:p>
                  <w:pPr>
                    <w:pStyle w:val="66"/>
                  </w:pPr>
                </w:p>
              </w:tc>
              <w:tc>
                <w:tcPr>
                  <w:tcW w:w="904" w:type="dxa"/>
                  <w:vAlign w:val="center"/>
                </w:tcPr>
                <w:p>
                  <w:pPr>
                    <w:pStyle w:val="66"/>
                  </w:pPr>
                  <w:r>
                    <w:rPr>
                      <w:rFonts w:hint="eastAsia"/>
                    </w:rPr>
                    <w:t>废试剂瓶</w:t>
                  </w:r>
                </w:p>
              </w:tc>
              <w:tc>
                <w:tcPr>
                  <w:tcW w:w="1156" w:type="dxa"/>
                  <w:tcBorders>
                    <w:top w:val="single" w:color="000000" w:sz="8" w:space="0"/>
                    <w:bottom w:val="single" w:color="000000" w:sz="8" w:space="0"/>
                  </w:tcBorders>
                  <w:vAlign w:val="center"/>
                </w:tcPr>
                <w:p>
                  <w:pPr>
                    <w:pStyle w:val="66"/>
                  </w:pPr>
                  <w:r>
                    <w:rPr>
                      <w:rFonts w:hint="eastAsia"/>
                      <w:lang w:val="en-US"/>
                    </w:rPr>
                    <w:t>HW49其他废物</w:t>
                  </w:r>
                </w:p>
              </w:tc>
              <w:tc>
                <w:tcPr>
                  <w:tcW w:w="809" w:type="dxa"/>
                  <w:vAlign w:val="center"/>
                </w:tcPr>
                <w:p>
                  <w:pPr>
                    <w:pStyle w:val="66"/>
                  </w:pPr>
                  <w:r>
                    <w:rPr>
                      <w:rFonts w:hint="eastAsia"/>
                    </w:rPr>
                    <w:t>900-047-49</w:t>
                  </w:r>
                </w:p>
              </w:tc>
              <w:tc>
                <w:tcPr>
                  <w:tcW w:w="426" w:type="dxa"/>
                  <w:vMerge w:val="continue"/>
                  <w:vAlign w:val="center"/>
                </w:tcPr>
                <w:p>
                  <w:pPr>
                    <w:pStyle w:val="66"/>
                  </w:pPr>
                </w:p>
              </w:tc>
              <w:tc>
                <w:tcPr>
                  <w:tcW w:w="702" w:type="dxa"/>
                  <w:vMerge w:val="continue"/>
                  <w:vAlign w:val="center"/>
                </w:tcPr>
                <w:p>
                  <w:pPr>
                    <w:pStyle w:val="66"/>
                  </w:pPr>
                </w:p>
              </w:tc>
              <w:tc>
                <w:tcPr>
                  <w:tcW w:w="602" w:type="dxa"/>
                  <w:vAlign w:val="center"/>
                </w:tcPr>
                <w:p>
                  <w:pPr>
                    <w:pStyle w:val="66"/>
                  </w:pPr>
                  <w:r>
                    <w:rPr>
                      <w:rFonts w:hint="eastAsia"/>
                      <w:lang w:eastAsia="zh-CN"/>
                    </w:rPr>
                    <w:t>袋</w:t>
                  </w:r>
                  <w:r>
                    <w:rPr>
                      <w:rFonts w:hint="eastAsia"/>
                    </w:rPr>
                    <w:t>装</w:t>
                  </w:r>
                </w:p>
              </w:tc>
              <w:tc>
                <w:tcPr>
                  <w:tcW w:w="678" w:type="dxa"/>
                  <w:vMerge w:val="continue"/>
                  <w:vAlign w:val="center"/>
                </w:tcPr>
                <w:p>
                  <w:pPr>
                    <w:pStyle w:val="66"/>
                  </w:pPr>
                </w:p>
              </w:tc>
              <w:tc>
                <w:tcPr>
                  <w:tcW w:w="566" w:type="dxa"/>
                  <w:tcBorders>
                    <w:top w:val="single" w:color="auto" w:sz="4" w:space="0"/>
                  </w:tcBorders>
                  <w:vAlign w:val="center"/>
                </w:tcPr>
                <w:p>
                  <w:pPr>
                    <w:pStyle w:val="66"/>
                  </w:pPr>
                  <w:r>
                    <w:rPr>
                      <w:rFonts w:hint="eastAsia"/>
                    </w:rPr>
                    <w:t>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428" w:type="dxa"/>
                  <w:tcBorders>
                    <w:bottom w:val="single" w:color="auto" w:sz="4" w:space="0"/>
                  </w:tcBorders>
                  <w:vAlign w:val="center"/>
                </w:tcPr>
                <w:p>
                  <w:pPr>
                    <w:pStyle w:val="66"/>
                  </w:pPr>
                  <w:r>
                    <w:rPr>
                      <w:rFonts w:hint="eastAsia"/>
                    </w:rPr>
                    <w:t>7</w:t>
                  </w:r>
                </w:p>
              </w:tc>
              <w:tc>
                <w:tcPr>
                  <w:tcW w:w="639" w:type="dxa"/>
                  <w:vMerge w:val="continue"/>
                  <w:vAlign w:val="center"/>
                </w:tcPr>
                <w:p>
                  <w:pPr>
                    <w:pStyle w:val="66"/>
                  </w:pPr>
                </w:p>
              </w:tc>
              <w:tc>
                <w:tcPr>
                  <w:tcW w:w="904" w:type="dxa"/>
                  <w:tcBorders>
                    <w:bottom w:val="single" w:color="auto" w:sz="4" w:space="0"/>
                  </w:tcBorders>
                  <w:vAlign w:val="center"/>
                </w:tcPr>
                <w:p>
                  <w:pPr>
                    <w:pStyle w:val="66"/>
                  </w:pPr>
                  <w:r>
                    <w:rPr>
                      <w:rFonts w:hint="eastAsia"/>
                    </w:rPr>
                    <w:t>生化及免疫实验加样针清洗废液</w:t>
                  </w:r>
                </w:p>
              </w:tc>
              <w:tc>
                <w:tcPr>
                  <w:tcW w:w="1156" w:type="dxa"/>
                  <w:tcBorders>
                    <w:top w:val="single" w:color="000000" w:sz="8" w:space="0"/>
                    <w:bottom w:val="single" w:color="auto" w:sz="4" w:space="0"/>
                  </w:tcBorders>
                  <w:vAlign w:val="center"/>
                </w:tcPr>
                <w:p>
                  <w:pPr>
                    <w:pStyle w:val="66"/>
                  </w:pPr>
                  <w:r>
                    <w:rPr>
                      <w:lang w:val="en-US"/>
                    </w:rPr>
                    <w:t>HW03</w:t>
                  </w:r>
                  <w:r>
                    <w:rPr>
                      <w:rFonts w:hint="eastAsia"/>
                      <w:lang w:val="en-US"/>
                    </w:rPr>
                    <w:t>废药物、药品</w:t>
                  </w:r>
                </w:p>
              </w:tc>
              <w:tc>
                <w:tcPr>
                  <w:tcW w:w="809" w:type="dxa"/>
                  <w:tcBorders>
                    <w:bottom w:val="single" w:color="auto" w:sz="4" w:space="0"/>
                  </w:tcBorders>
                  <w:vAlign w:val="center"/>
                </w:tcPr>
                <w:p>
                  <w:pPr>
                    <w:pStyle w:val="66"/>
                  </w:pPr>
                  <w:r>
                    <w:t>900-002-03</w:t>
                  </w:r>
                </w:p>
              </w:tc>
              <w:tc>
                <w:tcPr>
                  <w:tcW w:w="426" w:type="dxa"/>
                  <w:vMerge w:val="continue"/>
                  <w:vAlign w:val="center"/>
                </w:tcPr>
                <w:p>
                  <w:pPr>
                    <w:pStyle w:val="66"/>
                  </w:pPr>
                </w:p>
              </w:tc>
              <w:tc>
                <w:tcPr>
                  <w:tcW w:w="702" w:type="dxa"/>
                  <w:vMerge w:val="continue"/>
                  <w:vAlign w:val="center"/>
                </w:tcPr>
                <w:p>
                  <w:pPr>
                    <w:pStyle w:val="66"/>
                  </w:pPr>
                </w:p>
              </w:tc>
              <w:tc>
                <w:tcPr>
                  <w:tcW w:w="602" w:type="dxa"/>
                  <w:vAlign w:val="center"/>
                </w:tcPr>
                <w:p>
                  <w:pPr>
                    <w:pStyle w:val="66"/>
                  </w:pPr>
                  <w:r>
                    <w:rPr>
                      <w:rFonts w:hint="eastAsia"/>
                    </w:rPr>
                    <w:t>桶装</w:t>
                  </w:r>
                </w:p>
              </w:tc>
              <w:tc>
                <w:tcPr>
                  <w:tcW w:w="678" w:type="dxa"/>
                  <w:vMerge w:val="continue"/>
                  <w:vAlign w:val="center"/>
                </w:tcPr>
                <w:p>
                  <w:pPr>
                    <w:pStyle w:val="66"/>
                  </w:pPr>
                </w:p>
              </w:tc>
              <w:tc>
                <w:tcPr>
                  <w:tcW w:w="566" w:type="dxa"/>
                  <w:tcBorders>
                    <w:bottom w:val="single" w:color="auto" w:sz="4" w:space="0"/>
                  </w:tcBorders>
                  <w:vAlign w:val="center"/>
                </w:tcPr>
                <w:p>
                  <w:pPr>
                    <w:pStyle w:val="66"/>
                  </w:pPr>
                  <w:r>
                    <w:rPr>
                      <w:rFonts w:hint="eastAsia"/>
                    </w:rPr>
                    <w:t>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428" w:type="dxa"/>
                  <w:tcBorders>
                    <w:top w:val="single" w:color="auto" w:sz="4" w:space="0"/>
                    <w:bottom w:val="single" w:color="auto" w:sz="4" w:space="0"/>
                  </w:tcBorders>
                  <w:vAlign w:val="center"/>
                </w:tcPr>
                <w:p>
                  <w:pPr>
                    <w:pStyle w:val="66"/>
                  </w:pPr>
                  <w:r>
                    <w:rPr>
                      <w:rFonts w:hint="eastAsia"/>
                    </w:rPr>
                    <w:t>8</w:t>
                  </w:r>
                </w:p>
              </w:tc>
              <w:tc>
                <w:tcPr>
                  <w:tcW w:w="639" w:type="dxa"/>
                  <w:vMerge w:val="continue"/>
                  <w:vAlign w:val="center"/>
                </w:tcPr>
                <w:p>
                  <w:pPr>
                    <w:pStyle w:val="66"/>
                  </w:pPr>
                </w:p>
              </w:tc>
              <w:tc>
                <w:tcPr>
                  <w:tcW w:w="904" w:type="dxa"/>
                  <w:tcBorders>
                    <w:top w:val="single" w:color="auto" w:sz="4" w:space="0"/>
                    <w:bottom w:val="single" w:color="auto" w:sz="4" w:space="0"/>
                  </w:tcBorders>
                  <w:vAlign w:val="center"/>
                </w:tcPr>
                <w:p>
                  <w:pPr>
                    <w:pStyle w:val="66"/>
                  </w:pPr>
                  <w:r>
                    <w:rPr>
                      <w:rFonts w:hint="eastAsia"/>
                      <w:lang w:eastAsia="zh-CN"/>
                    </w:rPr>
                    <w:t>仪器清洗废液</w:t>
                  </w:r>
                </w:p>
              </w:tc>
              <w:tc>
                <w:tcPr>
                  <w:tcW w:w="1156" w:type="dxa"/>
                  <w:tcBorders>
                    <w:top w:val="single" w:color="auto" w:sz="4" w:space="0"/>
                    <w:bottom w:val="single" w:color="auto" w:sz="4" w:space="0"/>
                  </w:tcBorders>
                  <w:vAlign w:val="center"/>
                </w:tcPr>
                <w:p>
                  <w:pPr>
                    <w:pStyle w:val="66"/>
                  </w:pPr>
                  <w:r>
                    <w:rPr>
                      <w:lang w:val="en-US"/>
                    </w:rPr>
                    <w:t>HW03</w:t>
                  </w:r>
                  <w:r>
                    <w:rPr>
                      <w:rFonts w:hint="eastAsia"/>
                      <w:lang w:val="en-US"/>
                    </w:rPr>
                    <w:t>废药物、药品</w:t>
                  </w:r>
                </w:p>
              </w:tc>
              <w:tc>
                <w:tcPr>
                  <w:tcW w:w="809" w:type="dxa"/>
                  <w:tcBorders>
                    <w:top w:val="single" w:color="auto" w:sz="4" w:space="0"/>
                    <w:bottom w:val="single" w:color="auto" w:sz="4" w:space="0"/>
                  </w:tcBorders>
                  <w:vAlign w:val="center"/>
                </w:tcPr>
                <w:p>
                  <w:pPr>
                    <w:pStyle w:val="66"/>
                  </w:pPr>
                  <w:r>
                    <w:t>900-002-03</w:t>
                  </w:r>
                </w:p>
              </w:tc>
              <w:tc>
                <w:tcPr>
                  <w:tcW w:w="426" w:type="dxa"/>
                  <w:vMerge w:val="continue"/>
                  <w:vAlign w:val="center"/>
                </w:tcPr>
                <w:p>
                  <w:pPr>
                    <w:pStyle w:val="66"/>
                  </w:pPr>
                </w:p>
              </w:tc>
              <w:tc>
                <w:tcPr>
                  <w:tcW w:w="702" w:type="dxa"/>
                  <w:vMerge w:val="continue"/>
                  <w:vAlign w:val="center"/>
                </w:tcPr>
                <w:p>
                  <w:pPr>
                    <w:pStyle w:val="66"/>
                  </w:pPr>
                </w:p>
              </w:tc>
              <w:tc>
                <w:tcPr>
                  <w:tcW w:w="602" w:type="dxa"/>
                  <w:vAlign w:val="center"/>
                </w:tcPr>
                <w:p>
                  <w:pPr>
                    <w:pStyle w:val="66"/>
                  </w:pPr>
                  <w:r>
                    <w:rPr>
                      <w:rFonts w:hint="eastAsia"/>
                    </w:rPr>
                    <w:t>桶装</w:t>
                  </w:r>
                </w:p>
              </w:tc>
              <w:tc>
                <w:tcPr>
                  <w:tcW w:w="678" w:type="dxa"/>
                  <w:vMerge w:val="continue"/>
                  <w:vAlign w:val="center"/>
                </w:tcPr>
                <w:p>
                  <w:pPr>
                    <w:pStyle w:val="66"/>
                  </w:pPr>
                </w:p>
              </w:tc>
              <w:tc>
                <w:tcPr>
                  <w:tcW w:w="566" w:type="dxa"/>
                  <w:tcBorders>
                    <w:top w:val="single" w:color="auto" w:sz="4" w:space="0"/>
                    <w:bottom w:val="single" w:color="auto" w:sz="4" w:space="0"/>
                  </w:tcBorders>
                  <w:vAlign w:val="center"/>
                </w:tcPr>
                <w:p>
                  <w:pPr>
                    <w:pStyle w:val="66"/>
                  </w:pPr>
                  <w:r>
                    <w:rPr>
                      <w:rFonts w:hint="eastAsia"/>
                    </w:rPr>
                    <w:t>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428" w:type="dxa"/>
                  <w:tcBorders>
                    <w:top w:val="single" w:color="auto" w:sz="4" w:space="0"/>
                    <w:bottom w:val="single" w:color="auto" w:sz="4" w:space="0"/>
                  </w:tcBorders>
                  <w:vAlign w:val="center"/>
                </w:tcPr>
                <w:p>
                  <w:pPr>
                    <w:pStyle w:val="66"/>
                    <w:rPr>
                      <w:lang w:eastAsia="zh-CN"/>
                    </w:rPr>
                  </w:pPr>
                  <w:r>
                    <w:rPr>
                      <w:lang w:eastAsia="zh-CN"/>
                    </w:rPr>
                    <w:t>9</w:t>
                  </w:r>
                </w:p>
              </w:tc>
              <w:tc>
                <w:tcPr>
                  <w:tcW w:w="639" w:type="dxa"/>
                  <w:vMerge w:val="continue"/>
                  <w:vAlign w:val="center"/>
                </w:tcPr>
                <w:p>
                  <w:pPr>
                    <w:pStyle w:val="66"/>
                  </w:pPr>
                </w:p>
              </w:tc>
              <w:tc>
                <w:tcPr>
                  <w:tcW w:w="904" w:type="dxa"/>
                  <w:tcBorders>
                    <w:top w:val="single" w:color="auto" w:sz="4" w:space="0"/>
                    <w:bottom w:val="single" w:color="auto" w:sz="4" w:space="0"/>
                  </w:tcBorders>
                  <w:vAlign w:val="center"/>
                </w:tcPr>
                <w:p>
                  <w:pPr>
                    <w:pStyle w:val="66"/>
                  </w:pPr>
                  <w:r>
                    <w:rPr>
                      <w:rFonts w:hint="eastAsia"/>
                    </w:rPr>
                    <w:t>废紫外线灯管</w:t>
                  </w:r>
                </w:p>
              </w:tc>
              <w:tc>
                <w:tcPr>
                  <w:tcW w:w="1156" w:type="dxa"/>
                  <w:tcBorders>
                    <w:top w:val="single" w:color="auto" w:sz="4" w:space="0"/>
                    <w:bottom w:val="single" w:color="auto" w:sz="4" w:space="0"/>
                  </w:tcBorders>
                  <w:vAlign w:val="center"/>
                </w:tcPr>
                <w:p>
                  <w:pPr>
                    <w:pStyle w:val="66"/>
                  </w:pPr>
                  <w:r>
                    <w:rPr>
                      <w:rFonts w:hint="eastAsia"/>
                      <w:lang w:val="en-US"/>
                    </w:rPr>
                    <w:t>HW49其他废物</w:t>
                  </w:r>
                </w:p>
              </w:tc>
              <w:tc>
                <w:tcPr>
                  <w:tcW w:w="809" w:type="dxa"/>
                  <w:tcBorders>
                    <w:top w:val="single" w:color="auto" w:sz="4" w:space="0"/>
                    <w:bottom w:val="single" w:color="auto" w:sz="4" w:space="0"/>
                  </w:tcBorders>
                  <w:vAlign w:val="center"/>
                </w:tcPr>
                <w:p>
                  <w:pPr>
                    <w:pStyle w:val="66"/>
                  </w:pPr>
                  <w:r>
                    <w:rPr>
                      <w:rFonts w:hint="eastAsia"/>
                    </w:rPr>
                    <w:t>900-04</w:t>
                  </w:r>
                  <w:r>
                    <w:t>4</w:t>
                  </w:r>
                  <w:r>
                    <w:rPr>
                      <w:rFonts w:hint="eastAsia"/>
                    </w:rPr>
                    <w:t>-49</w:t>
                  </w:r>
                </w:p>
              </w:tc>
              <w:tc>
                <w:tcPr>
                  <w:tcW w:w="426" w:type="dxa"/>
                  <w:vMerge w:val="continue"/>
                  <w:vAlign w:val="center"/>
                </w:tcPr>
                <w:p>
                  <w:pPr>
                    <w:pStyle w:val="66"/>
                  </w:pPr>
                </w:p>
              </w:tc>
              <w:tc>
                <w:tcPr>
                  <w:tcW w:w="702" w:type="dxa"/>
                  <w:vMerge w:val="continue"/>
                  <w:vAlign w:val="center"/>
                </w:tcPr>
                <w:p>
                  <w:pPr>
                    <w:pStyle w:val="66"/>
                  </w:pPr>
                </w:p>
              </w:tc>
              <w:tc>
                <w:tcPr>
                  <w:tcW w:w="602" w:type="dxa"/>
                  <w:vAlign w:val="center"/>
                </w:tcPr>
                <w:p>
                  <w:pPr>
                    <w:pStyle w:val="66"/>
                  </w:pPr>
                  <w:r>
                    <w:rPr>
                      <w:rFonts w:hint="eastAsia"/>
                      <w:lang w:eastAsia="zh-CN"/>
                    </w:rPr>
                    <w:t>箱装</w:t>
                  </w:r>
                </w:p>
              </w:tc>
              <w:tc>
                <w:tcPr>
                  <w:tcW w:w="678" w:type="dxa"/>
                  <w:vMerge w:val="continue"/>
                  <w:vAlign w:val="center"/>
                </w:tcPr>
                <w:p>
                  <w:pPr>
                    <w:pStyle w:val="66"/>
                  </w:pPr>
                </w:p>
              </w:tc>
              <w:tc>
                <w:tcPr>
                  <w:tcW w:w="566" w:type="dxa"/>
                  <w:tcBorders>
                    <w:top w:val="single" w:color="auto" w:sz="4" w:space="0"/>
                    <w:bottom w:val="single" w:color="auto" w:sz="4" w:space="0"/>
                  </w:tcBorders>
                  <w:vAlign w:val="center"/>
                </w:tcPr>
                <w:p>
                  <w:pPr>
                    <w:pStyle w:val="66"/>
                  </w:pPr>
                  <w:r>
                    <w:rPr>
                      <w:rFonts w:hint="eastAsia"/>
                    </w:rPr>
                    <w:t>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428" w:type="dxa"/>
                  <w:tcBorders>
                    <w:top w:val="single" w:color="auto" w:sz="4" w:space="0"/>
                    <w:bottom w:val="single" w:color="auto" w:sz="4" w:space="0"/>
                  </w:tcBorders>
                  <w:vAlign w:val="center"/>
                </w:tcPr>
                <w:p>
                  <w:pPr>
                    <w:pStyle w:val="66"/>
                    <w:rPr>
                      <w:lang w:eastAsia="zh-CN"/>
                    </w:rPr>
                  </w:pPr>
                  <w:r>
                    <w:rPr>
                      <w:rFonts w:hint="eastAsia"/>
                      <w:lang w:eastAsia="zh-CN"/>
                    </w:rPr>
                    <w:t>1</w:t>
                  </w:r>
                  <w:r>
                    <w:rPr>
                      <w:lang w:eastAsia="zh-CN"/>
                    </w:rPr>
                    <w:t>0</w:t>
                  </w:r>
                </w:p>
              </w:tc>
              <w:tc>
                <w:tcPr>
                  <w:tcW w:w="639" w:type="dxa"/>
                  <w:vMerge w:val="continue"/>
                  <w:vAlign w:val="center"/>
                </w:tcPr>
                <w:p>
                  <w:pPr>
                    <w:pStyle w:val="66"/>
                  </w:pPr>
                </w:p>
              </w:tc>
              <w:tc>
                <w:tcPr>
                  <w:tcW w:w="904" w:type="dxa"/>
                  <w:tcBorders>
                    <w:top w:val="single" w:color="auto" w:sz="4" w:space="0"/>
                    <w:bottom w:val="single" w:color="auto" w:sz="4" w:space="0"/>
                  </w:tcBorders>
                  <w:vAlign w:val="center"/>
                </w:tcPr>
                <w:p>
                  <w:pPr>
                    <w:pStyle w:val="66"/>
                  </w:pPr>
                  <w:r>
                    <w:rPr>
                      <w:rFonts w:hint="eastAsia"/>
                      <w:lang w:eastAsia="zh-CN"/>
                    </w:rPr>
                    <w:t>废活性炭</w:t>
                  </w:r>
                </w:p>
              </w:tc>
              <w:tc>
                <w:tcPr>
                  <w:tcW w:w="1156" w:type="dxa"/>
                  <w:tcBorders>
                    <w:top w:val="single" w:color="auto" w:sz="4" w:space="0"/>
                    <w:bottom w:val="single" w:color="auto" w:sz="4" w:space="0"/>
                  </w:tcBorders>
                  <w:vAlign w:val="center"/>
                </w:tcPr>
                <w:p>
                  <w:pPr>
                    <w:pStyle w:val="66"/>
                    <w:rPr>
                      <w:lang w:val="en-US"/>
                    </w:rPr>
                  </w:pPr>
                  <w:r>
                    <w:rPr>
                      <w:rFonts w:hint="eastAsia"/>
                    </w:rPr>
                    <w:t>HW49其他废物</w:t>
                  </w:r>
                </w:p>
              </w:tc>
              <w:tc>
                <w:tcPr>
                  <w:tcW w:w="809" w:type="dxa"/>
                  <w:tcBorders>
                    <w:top w:val="single" w:color="auto" w:sz="4" w:space="0"/>
                    <w:bottom w:val="single" w:color="auto" w:sz="4" w:space="0"/>
                  </w:tcBorders>
                  <w:vAlign w:val="center"/>
                </w:tcPr>
                <w:p>
                  <w:pPr>
                    <w:pStyle w:val="66"/>
                  </w:pPr>
                  <w:r>
                    <w:t>900-041-49</w:t>
                  </w:r>
                </w:p>
              </w:tc>
              <w:tc>
                <w:tcPr>
                  <w:tcW w:w="426" w:type="dxa"/>
                  <w:vMerge w:val="continue"/>
                  <w:vAlign w:val="center"/>
                </w:tcPr>
                <w:p>
                  <w:pPr>
                    <w:pStyle w:val="66"/>
                  </w:pPr>
                </w:p>
              </w:tc>
              <w:tc>
                <w:tcPr>
                  <w:tcW w:w="702" w:type="dxa"/>
                  <w:vMerge w:val="continue"/>
                  <w:vAlign w:val="center"/>
                </w:tcPr>
                <w:p>
                  <w:pPr>
                    <w:pStyle w:val="66"/>
                  </w:pPr>
                </w:p>
              </w:tc>
              <w:tc>
                <w:tcPr>
                  <w:tcW w:w="602" w:type="dxa"/>
                  <w:vAlign w:val="center"/>
                </w:tcPr>
                <w:p>
                  <w:pPr>
                    <w:pStyle w:val="66"/>
                  </w:pPr>
                  <w:r>
                    <w:rPr>
                      <w:rFonts w:hint="eastAsia"/>
                      <w:lang w:eastAsia="zh-CN"/>
                    </w:rPr>
                    <w:t>袋装</w:t>
                  </w:r>
                </w:p>
              </w:tc>
              <w:tc>
                <w:tcPr>
                  <w:tcW w:w="678" w:type="dxa"/>
                  <w:vMerge w:val="continue"/>
                  <w:vAlign w:val="center"/>
                </w:tcPr>
                <w:p>
                  <w:pPr>
                    <w:pStyle w:val="66"/>
                  </w:pPr>
                </w:p>
              </w:tc>
              <w:tc>
                <w:tcPr>
                  <w:tcW w:w="566" w:type="dxa"/>
                  <w:tcBorders>
                    <w:top w:val="single" w:color="auto" w:sz="4" w:space="0"/>
                    <w:bottom w:val="single" w:color="auto" w:sz="4" w:space="0"/>
                  </w:tcBorders>
                  <w:vAlign w:val="center"/>
                </w:tcPr>
                <w:p>
                  <w:pPr>
                    <w:pStyle w:val="6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428" w:type="dxa"/>
                  <w:tcBorders>
                    <w:top w:val="single" w:color="auto" w:sz="4" w:space="0"/>
                  </w:tcBorders>
                  <w:vAlign w:val="center"/>
                </w:tcPr>
                <w:p>
                  <w:pPr>
                    <w:pStyle w:val="66"/>
                  </w:pPr>
                  <w:r>
                    <w:t>11</w:t>
                  </w:r>
                </w:p>
              </w:tc>
              <w:tc>
                <w:tcPr>
                  <w:tcW w:w="639" w:type="dxa"/>
                  <w:vAlign w:val="center"/>
                </w:tcPr>
                <w:p>
                  <w:pPr>
                    <w:pStyle w:val="66"/>
                    <w:rPr>
                      <w:lang w:eastAsia="zh-CN"/>
                    </w:rPr>
                  </w:pPr>
                  <w:r>
                    <w:rPr>
                      <w:rFonts w:hint="eastAsia"/>
                      <w:lang w:eastAsia="zh-CN"/>
                    </w:rPr>
                    <w:t>/</w:t>
                  </w:r>
                </w:p>
              </w:tc>
              <w:tc>
                <w:tcPr>
                  <w:tcW w:w="904" w:type="dxa"/>
                  <w:tcBorders>
                    <w:top w:val="single" w:color="auto" w:sz="4" w:space="0"/>
                  </w:tcBorders>
                  <w:vAlign w:val="center"/>
                </w:tcPr>
                <w:p>
                  <w:pPr>
                    <w:pStyle w:val="66"/>
                  </w:pPr>
                  <w:r>
                    <w:rPr>
                      <w:rFonts w:hint="eastAsia"/>
                    </w:rPr>
                    <w:t>污泥</w:t>
                  </w:r>
                </w:p>
              </w:tc>
              <w:tc>
                <w:tcPr>
                  <w:tcW w:w="1156" w:type="dxa"/>
                  <w:tcBorders>
                    <w:top w:val="single" w:color="auto" w:sz="4" w:space="0"/>
                  </w:tcBorders>
                  <w:vAlign w:val="center"/>
                </w:tcPr>
                <w:p>
                  <w:pPr>
                    <w:pStyle w:val="66"/>
                  </w:pPr>
                  <w:r>
                    <w:rPr>
                      <w:rFonts w:hint="eastAsia"/>
                    </w:rPr>
                    <w:t>HW01医疗废物</w:t>
                  </w:r>
                </w:p>
              </w:tc>
              <w:tc>
                <w:tcPr>
                  <w:tcW w:w="809" w:type="dxa"/>
                  <w:tcBorders>
                    <w:top w:val="single" w:color="auto" w:sz="4" w:space="0"/>
                  </w:tcBorders>
                  <w:vAlign w:val="center"/>
                </w:tcPr>
                <w:p>
                  <w:pPr>
                    <w:pStyle w:val="66"/>
                  </w:pPr>
                  <w:r>
                    <w:t>841-</w:t>
                  </w:r>
                  <w:r>
                    <w:rPr>
                      <w:rFonts w:hint="eastAsia"/>
                    </w:rPr>
                    <w:t>0</w:t>
                  </w:r>
                  <w:r>
                    <w:t>0</w:t>
                  </w:r>
                  <w:r>
                    <w:rPr>
                      <w:rFonts w:hint="eastAsia"/>
                    </w:rPr>
                    <w:t>1</w:t>
                  </w:r>
                  <w:r>
                    <w:t>-01</w:t>
                  </w:r>
                </w:p>
              </w:tc>
              <w:tc>
                <w:tcPr>
                  <w:tcW w:w="2974" w:type="dxa"/>
                  <w:gridSpan w:val="5"/>
                  <w:vAlign w:val="center"/>
                </w:tcPr>
                <w:p>
                  <w:pPr>
                    <w:pStyle w:val="66"/>
                    <w:rPr>
                      <w:lang w:eastAsia="zh-CN"/>
                    </w:rPr>
                  </w:pPr>
                  <w:r>
                    <w:rPr>
                      <w:rFonts w:hint="eastAsia"/>
                      <w:lang w:eastAsia="zh-CN"/>
                    </w:rPr>
                    <w:t>经消毒脱水后委托有资质企业回收处置</w:t>
                  </w:r>
                </w:p>
              </w:tc>
            </w:tr>
          </w:tbl>
          <w:p>
            <w:pPr>
              <w:pStyle w:val="56"/>
            </w:pPr>
          </w:p>
          <w:p>
            <w:pPr>
              <w:ind w:firstLine="482"/>
              <w:rPr>
                <w:b/>
                <w:lang w:val="zh-CN"/>
              </w:rPr>
            </w:pPr>
            <w:r>
              <w:rPr>
                <w:rFonts w:hint="eastAsia"/>
                <w:b/>
                <w:lang w:val="zh-CN"/>
              </w:rPr>
              <w:t>（4）医疗废物管理要求</w:t>
            </w:r>
          </w:p>
          <w:p>
            <w:pPr>
              <w:ind w:firstLine="480"/>
              <w:rPr>
                <w:lang w:val="zh-CN"/>
              </w:rPr>
            </w:pPr>
            <w:r>
              <w:rPr>
                <w:rFonts w:hint="eastAsia"/>
                <w:lang w:val="zh-CN"/>
              </w:rPr>
              <w:t>根据《医疗废物管理条例》（国务院〔2003〕第380号令）（2011年修订）和《医疗卫生机构医疗废物管理办法》（原卫生部〔2003〕第36号令）等，本项目医疗废物在收集和贮存过程中提出以下污染防治措施：</w:t>
            </w:r>
          </w:p>
          <w:p>
            <w:pPr>
              <w:ind w:firstLine="480"/>
              <w:rPr>
                <w:lang w:val="zh-CN"/>
              </w:rPr>
            </w:pPr>
            <w:r>
              <w:rPr>
                <w:rFonts w:hint="eastAsia"/>
                <w:lang w:val="zh-CN"/>
              </w:rPr>
              <w:t>①收集容器规定</w:t>
            </w:r>
          </w:p>
          <w:p>
            <w:pPr>
              <w:ind w:firstLine="480"/>
              <w:rPr>
                <w:lang w:val="zh-CN"/>
              </w:rPr>
            </w:pPr>
            <w:r>
              <w:rPr>
                <w:rFonts w:hint="eastAsia"/>
                <w:lang w:val="zh-CN"/>
              </w:rPr>
              <w:t>收集容器应符合《医疗废物专用包装袋、容器和警示标志标准》（HJ421-2008）要求。盛装医疗废物的每个包装物、容器外表面应当有警示标识，在每个包装物、容器上应当系中文标签，中文标签的内容应当包括：医疗废物产生单位、产生日期、类别及需要的特别说明等。</w:t>
            </w:r>
          </w:p>
          <w:p>
            <w:pPr>
              <w:ind w:firstLine="480"/>
              <w:rPr>
                <w:lang w:val="zh-CN"/>
              </w:rPr>
            </w:pPr>
            <w:r>
              <w:rPr>
                <w:rFonts w:hint="eastAsia"/>
                <w:lang w:val="zh-CN"/>
              </w:rPr>
              <w:t>②分类收集</w:t>
            </w:r>
          </w:p>
          <w:p>
            <w:pPr>
              <w:ind w:firstLine="480"/>
              <w:rPr>
                <w:lang w:val="zh-CN"/>
              </w:rPr>
            </w:pPr>
            <w:r>
              <w:rPr>
                <w:rFonts w:hint="eastAsia"/>
                <w:lang w:val="zh-CN"/>
              </w:rPr>
              <w:t>医疗废弃物的收集是否完善彻底、是否分类是废弃物处理处置的关键。</w:t>
            </w:r>
          </w:p>
          <w:p>
            <w:pPr>
              <w:ind w:firstLine="480"/>
              <w:rPr>
                <w:lang w:val="zh-CN"/>
              </w:rPr>
            </w:pPr>
            <w:r>
              <w:rPr>
                <w:rFonts w:hint="eastAsia"/>
                <w:lang w:val="zh-CN"/>
              </w:rPr>
              <w:t>A.根据医疗废物的类别，将医疗废物分置于符合《医疗废物专用包装袋、容器和警示标志标准》（HJ421-2008）的包装物或者容器内；在盛装医疗废物前，应当对医疗废物包装物或者容器进行认真检查，确保无破损、渗漏和其它缺陷。</w:t>
            </w:r>
          </w:p>
          <w:p>
            <w:pPr>
              <w:ind w:firstLine="480"/>
              <w:rPr>
                <w:lang w:val="zh-CN"/>
              </w:rPr>
            </w:pPr>
            <w:r>
              <w:rPr>
                <w:rFonts w:hint="eastAsia"/>
                <w:lang w:val="zh-CN"/>
              </w:rPr>
              <w:t>B.感染性废物、病理性废物、损伤性废物、药物性废物及化学性废物不能混合收集。少量的药物性废物可以混入感染性废物，但应当在标签上注明。</w:t>
            </w:r>
          </w:p>
          <w:p>
            <w:pPr>
              <w:ind w:firstLine="480"/>
              <w:rPr>
                <w:lang w:val="zh-CN"/>
              </w:rPr>
            </w:pPr>
            <w:r>
              <w:rPr>
                <w:rFonts w:hint="eastAsia"/>
                <w:lang w:val="zh-CN"/>
              </w:rPr>
              <w:t>C.废弃的麻醉性、精神性、毒性等药品及其相关的废物的管理，依照有关法律、行政法规和国家有关规定、标准执行。</w:t>
            </w:r>
          </w:p>
          <w:p>
            <w:pPr>
              <w:ind w:firstLine="480"/>
              <w:rPr>
                <w:lang w:val="zh-CN"/>
              </w:rPr>
            </w:pPr>
            <w:r>
              <w:rPr>
                <w:rFonts w:hint="eastAsia"/>
                <w:lang w:val="zh-CN"/>
              </w:rPr>
              <w:t>D.医疗废物中病原体的培养基、标本和菌种、毒种保存液等危险废物，应当首先在产生地点进行压力蒸汽灭菌或者化学消毒处理，然后按感染性废物收集处理；</w:t>
            </w:r>
          </w:p>
          <w:p>
            <w:pPr>
              <w:ind w:firstLine="480"/>
              <w:rPr>
                <w:lang w:val="zh-CN"/>
              </w:rPr>
            </w:pPr>
            <w:r>
              <w:rPr>
                <w:rFonts w:hint="eastAsia"/>
                <w:lang w:val="zh-CN"/>
              </w:rPr>
              <w:t>E.放入包装物或者容器内的感染性废物、病理性废物、损伤性废物不得取出。</w:t>
            </w:r>
          </w:p>
          <w:p>
            <w:pPr>
              <w:ind w:firstLine="480"/>
              <w:rPr>
                <w:lang w:val="zh-CN"/>
              </w:rPr>
            </w:pPr>
            <w:r>
              <w:rPr>
                <w:rFonts w:hint="eastAsia"/>
                <w:lang w:val="zh-CN"/>
              </w:rPr>
              <w:t>F.盛装的医疗废物达到包装物或者容器的3/4时，应当使用有效的封口方式，使包装物或者容器的封口紧实、严密。包装物或者容器的外表面被感染性废物污染时，应当对被污染处进行消毒处理或者增加一层包装。</w:t>
            </w:r>
          </w:p>
          <w:p>
            <w:pPr>
              <w:ind w:firstLine="480"/>
              <w:rPr>
                <w:lang w:val="zh-CN"/>
              </w:rPr>
            </w:pPr>
            <w:r>
              <w:rPr>
                <w:rFonts w:hint="eastAsia"/>
                <w:lang w:val="zh-CN"/>
              </w:rPr>
              <w:t>③分类处置</w:t>
            </w:r>
          </w:p>
          <w:p>
            <w:pPr>
              <w:ind w:firstLine="480"/>
              <w:rPr>
                <w:lang w:val="zh-CN"/>
              </w:rPr>
            </w:pPr>
            <w:r>
              <w:rPr>
                <w:rFonts w:hint="eastAsia"/>
                <w:lang w:val="zh-CN"/>
              </w:rPr>
              <w:t>A.项目医疗废物收集后统一委托有资质单位进行妥善处理。</w:t>
            </w:r>
          </w:p>
          <w:p>
            <w:pPr>
              <w:ind w:firstLine="480"/>
              <w:rPr>
                <w:lang w:val="zh-CN"/>
              </w:rPr>
            </w:pPr>
            <w:r>
              <w:rPr>
                <w:rFonts w:hint="eastAsia"/>
                <w:lang w:val="zh-CN"/>
              </w:rPr>
              <w:t>B.含有有毒有害的化学试剂废液应收集于废液瓶中后委托有资质的单位妥善处置。</w:t>
            </w:r>
          </w:p>
          <w:p>
            <w:pPr>
              <w:ind w:firstLine="480"/>
              <w:rPr>
                <w:lang w:val="zh-CN"/>
              </w:rPr>
            </w:pPr>
            <w:r>
              <w:rPr>
                <w:rFonts w:hint="eastAsia"/>
                <w:lang w:val="zh-CN"/>
              </w:rPr>
              <w:t>C.污泥排放要求：污泥处理控制标准采用通用的粪大肠菌群数作为控制指标，要求污泥在清掏前进行消毒处理，粪大肠菌群数应达到≤100MNP/g，达到本标准要求后，交由有资质单位处置。</w:t>
            </w:r>
          </w:p>
          <w:p>
            <w:pPr>
              <w:ind w:firstLine="480"/>
              <w:rPr>
                <w:lang w:val="zh-CN"/>
              </w:rPr>
            </w:pPr>
            <w:r>
              <w:rPr>
                <w:rFonts w:hint="eastAsia"/>
                <w:lang w:val="zh-CN"/>
              </w:rPr>
              <w:t>④暂时贮存要求</w:t>
            </w:r>
          </w:p>
          <w:p>
            <w:pPr>
              <w:ind w:firstLine="480"/>
              <w:rPr>
                <w:lang w:val="zh-CN"/>
              </w:rPr>
            </w:pPr>
            <w:r>
              <w:rPr>
                <w:rFonts w:hint="eastAsia"/>
                <w:lang w:val="zh-CN"/>
              </w:rPr>
              <w:t>项目医疗废物应每日集中收集至项目的医疗废物暂存间，医疗废物常温下贮存期不得超过2d。医疗废物的暂时贮存设施、设备应当达到以下要求：远离医疗区、食品加工区、人员活动区，并与生活垃圾存放场所严格分开，方便医疗废物运送人员及运送工具、车辆的出入；有严密的封闭措施，设专（兼）职人员管理，防止非工作人员接触医疗废物；有防鼠、防蚊蝇、防蟑螂的安全措施；防止渗漏和雨水冲刷；易于清洁和消毒；避免阳光直射；设有明显的医疗废物警示标识和“禁止吸烟、饮食”的警示标识；暂时贮存病理性废物，应当具备低温贮存或者防腐条件。</w:t>
            </w:r>
          </w:p>
          <w:p>
            <w:pPr>
              <w:ind w:firstLine="480"/>
              <w:rPr>
                <w:lang w:val="zh-CN"/>
              </w:rPr>
            </w:pPr>
            <w:r>
              <w:rPr>
                <w:rFonts w:hint="eastAsia"/>
                <w:lang w:val="zh-CN"/>
              </w:rPr>
              <w:t>⑤医疗废物的交接</w:t>
            </w:r>
          </w:p>
          <w:p>
            <w:pPr>
              <w:ind w:firstLine="480"/>
              <w:rPr>
                <w:lang w:val="zh-CN"/>
              </w:rPr>
            </w:pPr>
            <w:r>
              <w:rPr>
                <w:rFonts w:hint="eastAsia"/>
                <w:lang w:val="zh-CN"/>
              </w:rPr>
              <w:t>医疗废物运送人员在接收医疗废物时，应外观检查是否按规定进行包装、标识，并盛装于周转箱内，不得打开包装袋取出医疗废物。对包装破损、包装外表污染或未盛装于周转箱内的医疗废物，医疗废物运送人员应当要求重新包装、标识，并盛装于周转箱内。不按规定对医疗废物进行包装的，运送人员有权拒绝运送和向当地环保部门报告。交予处置的废物采用危险废物转移联单管理。</w:t>
            </w:r>
          </w:p>
          <w:p>
            <w:pPr>
              <w:ind w:firstLine="480"/>
              <w:rPr>
                <w:lang w:val="zh-CN"/>
              </w:rPr>
            </w:pPr>
            <w:r>
              <w:rPr>
                <w:rFonts w:hint="eastAsia"/>
                <w:lang w:val="zh-CN"/>
              </w:rPr>
              <w:t>⑥医疗废物的运输</w:t>
            </w:r>
          </w:p>
          <w:p>
            <w:pPr>
              <w:ind w:firstLine="480"/>
              <w:rPr>
                <w:lang w:val="zh-CN"/>
              </w:rPr>
            </w:pPr>
            <w:r>
              <w:rPr>
                <w:rFonts w:hint="eastAsia"/>
                <w:lang w:val="zh-CN"/>
              </w:rPr>
              <w:t>医疗废物运送应当使用专用车辆。车辆厢体应与驾驶室分离并密闭；厢体应达到气密性要求，内壁光滑平整，易于清洗消毒；厢体材料防水、耐腐蚀；厢体底部防液体渗漏，并设清洗污水的排水收集装置。运送车辆应符合《医疗废物转运车技术要求（试行）》（GB19217-2003）。运送车辆应配备：《危险废物转移联单》（医疗废物专用）、《医疗废物运送登记卡》、运送路线图、通信设备、医疗废物产生单位及其管理人员名单与电话号码、事故应急预案及联络单位和人员的名单、电话号码、收集医疗废物的工具、消毒器具与药品、备用的医疗废物专用袋和利器盒、备用的人员防护用品。</w:t>
            </w:r>
          </w:p>
          <w:p>
            <w:pPr>
              <w:ind w:firstLine="482"/>
              <w:rPr>
                <w:b/>
                <w:lang w:val="zh-CN"/>
              </w:rPr>
            </w:pPr>
            <w:r>
              <w:rPr>
                <w:rFonts w:hint="eastAsia"/>
                <w:b/>
                <w:lang w:val="zh-CN"/>
              </w:rPr>
              <w:t>（5）自建污水处理站、样品运送、医疗废物日常管理及外运</w:t>
            </w:r>
          </w:p>
          <w:p>
            <w:pPr>
              <w:ind w:firstLine="480"/>
              <w:rPr>
                <w:lang w:val="zh-CN"/>
              </w:rPr>
            </w:pPr>
            <w:r>
              <w:rPr>
                <w:rFonts w:hint="eastAsia"/>
                <w:lang w:val="zh-CN"/>
              </w:rPr>
              <w:t>项目自建污水处理站设置在项目所在大楼东面，设置单独的污水间放置设备，并设置标识警告无关人员不能擅自开门。</w:t>
            </w:r>
          </w:p>
          <w:p>
            <w:pPr>
              <w:ind w:firstLine="480"/>
              <w:rPr>
                <w:lang w:val="zh-CN"/>
              </w:rPr>
            </w:pPr>
            <w:r>
              <w:rPr>
                <w:rFonts w:hint="eastAsia"/>
                <w:lang w:val="zh-CN"/>
              </w:rPr>
              <w:t>项目每天运送两次样品，使用南侧专用梯运送，运送期间物业对电梯进行管制，在其他楼层设置警示立牌，2天运送一次，每次运送后会进行消杀和记录。</w:t>
            </w:r>
          </w:p>
          <w:p>
            <w:pPr>
              <w:ind w:firstLine="480"/>
              <w:rPr>
                <w:lang w:val="zh-CN"/>
              </w:rPr>
            </w:pPr>
            <w:r>
              <w:rPr>
                <w:rFonts w:hint="eastAsia"/>
                <w:lang w:val="zh-CN"/>
              </w:rPr>
              <w:t>项目医疗废物暂存间位于项目1楼东面，使用东侧医疗废物专用梯运送，运送期间物业对电梯进行管制，在其他楼层设置警示立牌，2天运送一次，每次运送后会进行消杀和记录。</w:t>
            </w:r>
          </w:p>
          <w:p>
            <w:pPr>
              <w:ind w:firstLine="480"/>
              <w:rPr>
                <w:lang w:val="zh-CN"/>
              </w:rPr>
            </w:pPr>
            <w:r>
              <w:rPr>
                <w:rFonts w:hint="eastAsia"/>
                <w:lang w:val="zh-CN"/>
              </w:rPr>
              <w:t>本项目产生的固废处理处置时本着尽量减少废物排放的原则，在采取上述分类收集、分类处理处置的措施后，在建设单位严格对项目产生的危险废物进行全过程管理并落实相关要求的条件下，本项目危险废物处理可行、贮存合理，不会对环境造成二次污染。</w:t>
            </w:r>
          </w:p>
          <w:p>
            <w:pPr>
              <w:pStyle w:val="4"/>
              <w:rPr>
                <w:lang w:eastAsia="zh-CN"/>
              </w:rPr>
            </w:pPr>
            <w:bookmarkStart w:id="133" w:name="_Toc120889824"/>
            <w:bookmarkStart w:id="134" w:name="_Toc121147753"/>
            <w:bookmarkStart w:id="135" w:name="_Toc122338521"/>
            <w:r>
              <w:rPr>
                <w:rFonts w:hint="eastAsia"/>
                <w:lang w:eastAsia="zh-CN"/>
              </w:rPr>
              <w:t>地下水、土壤</w:t>
            </w:r>
            <w:bookmarkEnd w:id="133"/>
            <w:bookmarkEnd w:id="134"/>
            <w:bookmarkEnd w:id="135"/>
          </w:p>
          <w:p>
            <w:pPr>
              <w:ind w:firstLine="480"/>
              <w:rPr>
                <w:lang w:val="zh-CN"/>
              </w:rPr>
            </w:pPr>
            <w:r>
              <w:rPr>
                <w:rFonts w:hint="eastAsia"/>
                <w:lang w:val="zh-CN"/>
              </w:rPr>
              <w:t>根据《环境影响评价技术导则 地下水环境》（HJ610-2016）附录A要求，本项目属于“社会事业与服务业－专业实验室”，为Ⅳ类项目，因此本项目可不开展地下水环境影响评价。根据导则要求，项目不属于一、二、三级评价，因此非必要时不需要开展地下水跟踪性监测。</w:t>
            </w:r>
          </w:p>
          <w:p>
            <w:pPr>
              <w:ind w:firstLine="480"/>
              <w:rPr>
                <w:lang w:val="zh-CN"/>
              </w:rPr>
            </w:pPr>
            <w:r>
              <w:rPr>
                <w:rFonts w:hint="eastAsia"/>
                <w:lang w:val="zh-CN"/>
              </w:rPr>
              <w:t>根据《环境影响评价技术导则 土壤环境（试行）》（HJ964-2018）的附录A土壤环境影响评价项目类别，本项目属于“其他”，可不开展土壤环境评价。根据导则要求，项目不属于一、二、三级评价，因此非必要时不需要开展土壤跟踪性监测。</w:t>
            </w:r>
          </w:p>
          <w:p>
            <w:pPr>
              <w:ind w:firstLine="480"/>
              <w:rPr>
                <w:lang w:val="zh-CN"/>
              </w:rPr>
            </w:pPr>
            <w:r>
              <w:rPr>
                <w:rFonts w:hint="eastAsia"/>
                <w:lang w:val="zh-CN"/>
              </w:rPr>
              <w:t>1、源头控制措施</w:t>
            </w:r>
          </w:p>
          <w:p>
            <w:pPr>
              <w:ind w:firstLine="480"/>
              <w:rPr>
                <w:lang w:val="zh-CN"/>
              </w:rPr>
            </w:pPr>
            <w:r>
              <w:rPr>
                <w:rFonts w:hint="eastAsia"/>
                <w:lang w:val="zh-CN"/>
              </w:rPr>
              <w:t>本项目在运营过程中，为防止对地下水、土壤的污染，应采取如下措施：</w:t>
            </w:r>
          </w:p>
          <w:p>
            <w:pPr>
              <w:ind w:firstLine="480"/>
              <w:rPr>
                <w:lang w:val="zh-CN"/>
              </w:rPr>
            </w:pPr>
            <w:r>
              <w:rPr>
                <w:rFonts w:hint="eastAsia"/>
                <w:lang w:val="zh-CN"/>
              </w:rPr>
              <w:t>（1）危险废物严格按要求进行处理处置，严禁随意倾倒、丢弃，建设单位及时联系危废单位回收，在危废处理单位未回收期间，应集中收集，专人管理，集中贮存，各类危险废物按性质不同分类进行贮存。危险废物暂存间应满足《危险废物贮存污染控制标准》（GB18597-2001）及2013修改单中标准，贮存场所要防风、防雨、防晒，避开仓库，基础必须防渗。</w:t>
            </w:r>
          </w:p>
          <w:p>
            <w:pPr>
              <w:ind w:firstLine="480"/>
              <w:rPr>
                <w:lang w:val="zh-CN"/>
              </w:rPr>
            </w:pPr>
            <w:r>
              <w:rPr>
                <w:rFonts w:hint="eastAsia"/>
                <w:lang w:val="zh-CN"/>
              </w:rPr>
              <w:t>（2）一旦发生实验废水等泄漏事故，项目应及时采取必要的措施，进行堵漏收集，交由有资质单位处置，减少事故损失，防止事故蔓延、扩大。</w:t>
            </w:r>
          </w:p>
          <w:p>
            <w:pPr>
              <w:ind w:firstLine="480"/>
              <w:rPr>
                <w:lang w:val="zh-CN"/>
              </w:rPr>
            </w:pPr>
            <w:r>
              <w:rPr>
                <w:rFonts w:hint="eastAsia"/>
                <w:lang w:val="zh-CN"/>
              </w:rPr>
              <w:t>（3）本项目自建污水处理设施在第</w:t>
            </w:r>
            <w:r>
              <w:rPr>
                <w:lang w:val="zh-CN"/>
              </w:rPr>
              <w:t>1</w:t>
            </w:r>
            <w:r>
              <w:rPr>
                <w:rFonts w:hint="eastAsia"/>
                <w:lang w:val="zh-CN"/>
              </w:rPr>
              <w:t>层东侧。项目废水排入园区污水管，进入茂名高新技术产业开发区污水处理厂进行深度处理，项目内部做好管道的相应防渗措施，可避免实验室废水发生“跑、冒、滴、漏”现象，造成垂直下渗，污染地下水、土壤环境。</w:t>
            </w:r>
          </w:p>
          <w:p>
            <w:pPr>
              <w:ind w:firstLine="480"/>
              <w:rPr>
                <w:lang w:val="zh-CN"/>
              </w:rPr>
            </w:pPr>
            <w:r>
              <w:rPr>
                <w:rFonts w:hint="eastAsia"/>
                <w:lang w:val="zh-CN"/>
              </w:rPr>
              <w:t>2、分区防渗措施</w:t>
            </w:r>
          </w:p>
          <w:p>
            <w:pPr>
              <w:ind w:firstLine="480"/>
              <w:rPr>
                <w:lang w:val="zh-CN"/>
              </w:rPr>
            </w:pPr>
            <w:r>
              <w:rPr>
                <w:rFonts w:hint="eastAsia"/>
                <w:lang w:val="zh-CN"/>
              </w:rPr>
              <w:t>根据建设项目各区域地下水污染风险大小及《环境影响评价技术导则 地下水环境》（HJ610-2016）中防渗技术要求进行将院区划分为简单防渗区、一般防渗区和重点防渗区。</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24</w:t>
            </w:r>
            <w:r>
              <w:fldChar w:fldCharType="end"/>
            </w:r>
            <w:r>
              <w:rPr>
                <w:rFonts w:hint="eastAsia"/>
              </w:rPr>
              <w:t>地下水污染防渗分区参照表</w:t>
            </w:r>
          </w:p>
          <w:tbl>
            <w:tblPr>
              <w:tblStyle w:val="6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7"/>
              <w:gridCol w:w="973"/>
              <w:gridCol w:w="1519"/>
              <w:gridCol w:w="1287"/>
              <w:gridCol w:w="24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7" w:type="dxa"/>
                  <w:tcBorders>
                    <w:top w:val="single" w:color="auto" w:sz="8" w:space="0"/>
                    <w:left w:val="single" w:color="auto" w:sz="8" w:space="0"/>
                  </w:tcBorders>
                  <w:vAlign w:val="center"/>
                </w:tcPr>
                <w:p>
                  <w:pPr>
                    <w:pStyle w:val="56"/>
                  </w:pPr>
                  <w:r>
                    <w:rPr>
                      <w:rFonts w:hint="eastAsia"/>
                    </w:rPr>
                    <w:t>防渗</w:t>
                  </w:r>
                </w:p>
                <w:p>
                  <w:pPr>
                    <w:pStyle w:val="56"/>
                  </w:pPr>
                  <w:r>
                    <w:rPr>
                      <w:rFonts w:hint="eastAsia"/>
                    </w:rPr>
                    <w:t>区域</w:t>
                  </w:r>
                </w:p>
              </w:tc>
              <w:tc>
                <w:tcPr>
                  <w:tcW w:w="973" w:type="dxa"/>
                  <w:tcBorders>
                    <w:top w:val="single" w:color="auto" w:sz="8" w:space="0"/>
                  </w:tcBorders>
                  <w:vAlign w:val="center"/>
                </w:tcPr>
                <w:p>
                  <w:pPr>
                    <w:pStyle w:val="56"/>
                  </w:pPr>
                  <w:r>
                    <w:rPr>
                      <w:rFonts w:hint="eastAsia"/>
                    </w:rPr>
                    <w:t>天然包气带</w:t>
                  </w:r>
                </w:p>
                <w:p>
                  <w:pPr>
                    <w:pStyle w:val="56"/>
                  </w:pPr>
                  <w:r>
                    <w:rPr>
                      <w:rFonts w:hint="eastAsia"/>
                    </w:rPr>
                    <w:t>防污性能</w:t>
                  </w:r>
                </w:p>
              </w:tc>
              <w:tc>
                <w:tcPr>
                  <w:tcW w:w="1519" w:type="dxa"/>
                  <w:tcBorders>
                    <w:top w:val="single" w:color="auto" w:sz="8" w:space="0"/>
                  </w:tcBorders>
                  <w:vAlign w:val="center"/>
                </w:tcPr>
                <w:p>
                  <w:pPr>
                    <w:pStyle w:val="56"/>
                  </w:pPr>
                  <w:r>
                    <w:rPr>
                      <w:rFonts w:hint="eastAsia"/>
                    </w:rPr>
                    <w:t>污染控制</w:t>
                  </w:r>
                </w:p>
                <w:p>
                  <w:pPr>
                    <w:pStyle w:val="56"/>
                  </w:pPr>
                  <w:r>
                    <w:rPr>
                      <w:rFonts w:hint="eastAsia"/>
                    </w:rPr>
                    <w:t>难易程度</w:t>
                  </w:r>
                </w:p>
              </w:tc>
              <w:tc>
                <w:tcPr>
                  <w:tcW w:w="1287" w:type="dxa"/>
                  <w:tcBorders>
                    <w:top w:val="single" w:color="auto" w:sz="8" w:space="0"/>
                  </w:tcBorders>
                  <w:vAlign w:val="center"/>
                </w:tcPr>
                <w:p>
                  <w:pPr>
                    <w:pStyle w:val="56"/>
                  </w:pPr>
                  <w:r>
                    <w:rPr>
                      <w:rFonts w:hint="eastAsia"/>
                    </w:rPr>
                    <w:t>污染物类型</w:t>
                  </w:r>
                </w:p>
              </w:tc>
              <w:tc>
                <w:tcPr>
                  <w:tcW w:w="2424" w:type="dxa"/>
                  <w:tcBorders>
                    <w:top w:val="single" w:color="auto" w:sz="8" w:space="0"/>
                    <w:right w:val="single" w:color="auto" w:sz="8" w:space="0"/>
                  </w:tcBorders>
                  <w:vAlign w:val="center"/>
                </w:tcPr>
                <w:p>
                  <w:pPr>
                    <w:pStyle w:val="56"/>
                  </w:pPr>
                  <w:r>
                    <w:rPr>
                      <w:rFonts w:hint="eastAsia"/>
                    </w:rPr>
                    <w:t>污染防渗技术要求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7" w:type="dxa"/>
                  <w:vMerge w:val="restart"/>
                  <w:tcBorders>
                    <w:left w:val="single" w:color="auto" w:sz="8" w:space="0"/>
                  </w:tcBorders>
                  <w:vAlign w:val="center"/>
                </w:tcPr>
                <w:p>
                  <w:pPr>
                    <w:pStyle w:val="56"/>
                  </w:pPr>
                  <w:r>
                    <w:rPr>
                      <w:rFonts w:hint="eastAsia"/>
                    </w:rPr>
                    <w:t>重点防渗区</w:t>
                  </w:r>
                </w:p>
              </w:tc>
              <w:tc>
                <w:tcPr>
                  <w:tcW w:w="973" w:type="dxa"/>
                  <w:vAlign w:val="center"/>
                </w:tcPr>
                <w:p>
                  <w:pPr>
                    <w:pStyle w:val="56"/>
                  </w:pPr>
                  <w:r>
                    <w:rPr>
                      <w:rFonts w:hint="eastAsia"/>
                    </w:rPr>
                    <w:t>弱</w:t>
                  </w:r>
                </w:p>
              </w:tc>
              <w:tc>
                <w:tcPr>
                  <w:tcW w:w="1519" w:type="dxa"/>
                  <w:vAlign w:val="center"/>
                </w:tcPr>
                <w:p>
                  <w:pPr>
                    <w:pStyle w:val="56"/>
                  </w:pPr>
                  <w:r>
                    <w:rPr>
                      <w:rFonts w:hint="eastAsia"/>
                      <w:lang w:eastAsia="zh-CN"/>
                    </w:rPr>
                    <w:t>难</w:t>
                  </w:r>
                </w:p>
              </w:tc>
              <w:tc>
                <w:tcPr>
                  <w:tcW w:w="1287" w:type="dxa"/>
                  <w:vMerge w:val="restart"/>
                  <w:vAlign w:val="center"/>
                </w:tcPr>
                <w:p>
                  <w:pPr>
                    <w:pStyle w:val="56"/>
                  </w:pPr>
                  <w:r>
                    <w:rPr>
                      <w:rFonts w:hint="eastAsia"/>
                    </w:rPr>
                    <w:t>重金属、持久持久性有机污染物</w:t>
                  </w:r>
                </w:p>
              </w:tc>
              <w:tc>
                <w:tcPr>
                  <w:tcW w:w="2424" w:type="dxa"/>
                  <w:vMerge w:val="restart"/>
                  <w:tcBorders>
                    <w:right w:val="single" w:color="auto" w:sz="8" w:space="0"/>
                  </w:tcBorders>
                  <w:vAlign w:val="center"/>
                </w:tcPr>
                <w:p>
                  <w:pPr>
                    <w:pStyle w:val="56"/>
                  </w:pPr>
                  <w:r>
                    <w:rPr>
                      <w:rFonts w:hint="eastAsia"/>
                    </w:rPr>
                    <w:t>等效黏土防渗层 Mb≥6.0m，K≤1×10</w:t>
                  </w:r>
                  <w:r>
                    <w:rPr>
                      <w:rFonts w:hint="eastAsia"/>
                      <w:vertAlign w:val="superscript"/>
                    </w:rPr>
                    <w:t>-7</w:t>
                  </w:r>
                  <w:r>
                    <w:rPr>
                      <w:rFonts w:hint="eastAsia"/>
                    </w:rPr>
                    <w:t>cm/s，或参考GB18598 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697" w:type="dxa"/>
                  <w:vMerge w:val="continue"/>
                  <w:tcBorders>
                    <w:left w:val="single" w:color="auto" w:sz="8" w:space="0"/>
                  </w:tcBorders>
                  <w:vAlign w:val="center"/>
                </w:tcPr>
                <w:p>
                  <w:pPr>
                    <w:pStyle w:val="56"/>
                  </w:pPr>
                </w:p>
              </w:tc>
              <w:tc>
                <w:tcPr>
                  <w:tcW w:w="973" w:type="dxa"/>
                  <w:vAlign w:val="center"/>
                </w:tcPr>
                <w:p>
                  <w:pPr>
                    <w:pStyle w:val="56"/>
                  </w:pPr>
                  <w:r>
                    <w:rPr>
                      <w:rFonts w:hint="eastAsia"/>
                    </w:rPr>
                    <w:t>中—强</w:t>
                  </w:r>
                </w:p>
              </w:tc>
              <w:tc>
                <w:tcPr>
                  <w:tcW w:w="1519" w:type="dxa"/>
                  <w:vAlign w:val="center"/>
                </w:tcPr>
                <w:p>
                  <w:pPr>
                    <w:pStyle w:val="56"/>
                  </w:pPr>
                  <w:r>
                    <w:rPr>
                      <w:rFonts w:hint="eastAsia"/>
                      <w:lang w:eastAsia="zh-CN"/>
                    </w:rPr>
                    <w:t>难</w:t>
                  </w:r>
                </w:p>
              </w:tc>
              <w:tc>
                <w:tcPr>
                  <w:tcW w:w="1287" w:type="dxa"/>
                  <w:vMerge w:val="continue"/>
                  <w:vAlign w:val="center"/>
                </w:tcPr>
                <w:p>
                  <w:pPr>
                    <w:pStyle w:val="56"/>
                  </w:pPr>
                </w:p>
              </w:tc>
              <w:tc>
                <w:tcPr>
                  <w:tcW w:w="2424" w:type="dxa"/>
                  <w:vMerge w:val="continue"/>
                  <w:tcBorders>
                    <w:right w:val="single" w:color="auto" w:sz="8" w:space="0"/>
                  </w:tcBorders>
                  <w:vAlign w:val="center"/>
                </w:tcPr>
                <w:p>
                  <w:pPr>
                    <w:pStyle w:val="56"/>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7" w:type="dxa"/>
                  <w:vMerge w:val="continue"/>
                  <w:tcBorders>
                    <w:left w:val="single" w:color="auto" w:sz="8" w:space="0"/>
                  </w:tcBorders>
                  <w:vAlign w:val="center"/>
                </w:tcPr>
                <w:p>
                  <w:pPr>
                    <w:pStyle w:val="56"/>
                  </w:pPr>
                </w:p>
              </w:tc>
              <w:tc>
                <w:tcPr>
                  <w:tcW w:w="973" w:type="dxa"/>
                  <w:vAlign w:val="center"/>
                </w:tcPr>
                <w:p>
                  <w:pPr>
                    <w:pStyle w:val="56"/>
                  </w:pPr>
                  <w:r>
                    <w:rPr>
                      <w:rFonts w:hint="eastAsia"/>
                    </w:rPr>
                    <w:t>弱</w:t>
                  </w:r>
                </w:p>
              </w:tc>
              <w:tc>
                <w:tcPr>
                  <w:tcW w:w="1519" w:type="dxa"/>
                  <w:vAlign w:val="center"/>
                </w:tcPr>
                <w:p>
                  <w:pPr>
                    <w:pStyle w:val="56"/>
                  </w:pPr>
                  <w:r>
                    <w:rPr>
                      <w:rFonts w:hint="eastAsia"/>
                      <w:lang w:eastAsia="zh-CN"/>
                    </w:rPr>
                    <w:t>易</w:t>
                  </w:r>
                </w:p>
              </w:tc>
              <w:tc>
                <w:tcPr>
                  <w:tcW w:w="1287" w:type="dxa"/>
                  <w:vMerge w:val="continue"/>
                  <w:vAlign w:val="center"/>
                </w:tcPr>
                <w:p>
                  <w:pPr>
                    <w:pStyle w:val="56"/>
                  </w:pPr>
                </w:p>
              </w:tc>
              <w:tc>
                <w:tcPr>
                  <w:tcW w:w="2424" w:type="dxa"/>
                  <w:vMerge w:val="continue"/>
                  <w:tcBorders>
                    <w:right w:val="single" w:color="auto" w:sz="8" w:space="0"/>
                  </w:tcBorders>
                  <w:vAlign w:val="center"/>
                </w:tcPr>
                <w:p>
                  <w:pPr>
                    <w:pStyle w:val="56"/>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7" w:type="dxa"/>
                  <w:vMerge w:val="restart"/>
                  <w:tcBorders>
                    <w:left w:val="single" w:color="auto" w:sz="8" w:space="0"/>
                  </w:tcBorders>
                  <w:vAlign w:val="center"/>
                </w:tcPr>
                <w:p>
                  <w:pPr>
                    <w:pStyle w:val="56"/>
                  </w:pPr>
                  <w:r>
                    <w:rPr>
                      <w:rFonts w:hint="eastAsia"/>
                    </w:rPr>
                    <w:t>一般防渗区</w:t>
                  </w:r>
                </w:p>
              </w:tc>
              <w:tc>
                <w:tcPr>
                  <w:tcW w:w="973" w:type="dxa"/>
                  <w:vAlign w:val="center"/>
                </w:tcPr>
                <w:p>
                  <w:pPr>
                    <w:pStyle w:val="56"/>
                  </w:pPr>
                  <w:r>
                    <w:rPr>
                      <w:rFonts w:hint="eastAsia"/>
                    </w:rPr>
                    <w:t>弱</w:t>
                  </w:r>
                </w:p>
              </w:tc>
              <w:tc>
                <w:tcPr>
                  <w:tcW w:w="1519" w:type="dxa"/>
                  <w:vAlign w:val="center"/>
                </w:tcPr>
                <w:p>
                  <w:pPr>
                    <w:pStyle w:val="56"/>
                  </w:pPr>
                  <w:r>
                    <w:rPr>
                      <w:rFonts w:hint="eastAsia"/>
                    </w:rPr>
                    <w:t>易—难</w:t>
                  </w:r>
                </w:p>
              </w:tc>
              <w:tc>
                <w:tcPr>
                  <w:tcW w:w="1287" w:type="dxa"/>
                  <w:vMerge w:val="restart"/>
                  <w:vAlign w:val="center"/>
                </w:tcPr>
                <w:p>
                  <w:pPr>
                    <w:pStyle w:val="56"/>
                  </w:pPr>
                  <w:r>
                    <w:rPr>
                      <w:rFonts w:hint="eastAsia"/>
                    </w:rPr>
                    <w:t>其他类型</w:t>
                  </w:r>
                </w:p>
              </w:tc>
              <w:tc>
                <w:tcPr>
                  <w:tcW w:w="2424" w:type="dxa"/>
                  <w:vMerge w:val="restart"/>
                  <w:tcBorders>
                    <w:right w:val="single" w:color="auto" w:sz="8" w:space="0"/>
                  </w:tcBorders>
                  <w:vAlign w:val="center"/>
                </w:tcPr>
                <w:p>
                  <w:pPr>
                    <w:pStyle w:val="56"/>
                  </w:pPr>
                  <w:r>
                    <w:rPr>
                      <w:rFonts w:hint="eastAsia"/>
                    </w:rPr>
                    <w:t>等效黏土防渗层 Mb≥1.5m，K≤1×10</w:t>
                  </w:r>
                  <w:r>
                    <w:rPr>
                      <w:rFonts w:hint="eastAsia"/>
                      <w:vertAlign w:val="superscript"/>
                    </w:rPr>
                    <w:t>-7</w:t>
                  </w:r>
                  <w:r>
                    <w:rPr>
                      <w:rFonts w:hint="eastAsia"/>
                    </w:rPr>
                    <w:t>cm/s，或参考GB16889执行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697" w:type="dxa"/>
                  <w:vMerge w:val="continue"/>
                  <w:tcBorders>
                    <w:left w:val="single" w:color="auto" w:sz="8" w:space="0"/>
                  </w:tcBorders>
                  <w:vAlign w:val="center"/>
                </w:tcPr>
                <w:p>
                  <w:pPr>
                    <w:pStyle w:val="56"/>
                  </w:pPr>
                </w:p>
              </w:tc>
              <w:tc>
                <w:tcPr>
                  <w:tcW w:w="973" w:type="dxa"/>
                  <w:vAlign w:val="center"/>
                </w:tcPr>
                <w:p>
                  <w:pPr>
                    <w:pStyle w:val="56"/>
                  </w:pPr>
                  <w:r>
                    <w:rPr>
                      <w:rFonts w:hint="eastAsia"/>
                    </w:rPr>
                    <w:t>中—强</w:t>
                  </w:r>
                </w:p>
              </w:tc>
              <w:tc>
                <w:tcPr>
                  <w:tcW w:w="1519" w:type="dxa"/>
                  <w:vAlign w:val="center"/>
                </w:tcPr>
                <w:p>
                  <w:pPr>
                    <w:pStyle w:val="56"/>
                  </w:pPr>
                  <w:r>
                    <w:rPr>
                      <w:rFonts w:hint="eastAsia"/>
                    </w:rPr>
                    <w:t>难</w:t>
                  </w:r>
                </w:p>
              </w:tc>
              <w:tc>
                <w:tcPr>
                  <w:tcW w:w="1287" w:type="dxa"/>
                  <w:vMerge w:val="continue"/>
                  <w:vAlign w:val="center"/>
                </w:tcPr>
                <w:p>
                  <w:pPr>
                    <w:pStyle w:val="56"/>
                  </w:pPr>
                </w:p>
              </w:tc>
              <w:tc>
                <w:tcPr>
                  <w:tcW w:w="2424" w:type="dxa"/>
                  <w:vMerge w:val="continue"/>
                  <w:tcBorders>
                    <w:right w:val="single" w:color="auto" w:sz="8" w:space="0"/>
                  </w:tcBorders>
                  <w:vAlign w:val="center"/>
                </w:tcPr>
                <w:p>
                  <w:pPr>
                    <w:pStyle w:val="56"/>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7" w:type="dxa"/>
                  <w:vMerge w:val="continue"/>
                  <w:tcBorders>
                    <w:left w:val="single" w:color="auto" w:sz="8" w:space="0"/>
                  </w:tcBorders>
                  <w:vAlign w:val="center"/>
                </w:tcPr>
                <w:p>
                  <w:pPr>
                    <w:pStyle w:val="56"/>
                  </w:pPr>
                </w:p>
              </w:tc>
              <w:tc>
                <w:tcPr>
                  <w:tcW w:w="973" w:type="dxa"/>
                  <w:vAlign w:val="center"/>
                </w:tcPr>
                <w:p>
                  <w:pPr>
                    <w:pStyle w:val="56"/>
                  </w:pPr>
                  <w:r>
                    <w:rPr>
                      <w:rFonts w:hint="eastAsia"/>
                    </w:rPr>
                    <w:t>中</w:t>
                  </w:r>
                </w:p>
              </w:tc>
              <w:tc>
                <w:tcPr>
                  <w:tcW w:w="1519" w:type="dxa"/>
                  <w:vAlign w:val="center"/>
                </w:tcPr>
                <w:p>
                  <w:pPr>
                    <w:pStyle w:val="56"/>
                  </w:pPr>
                  <w:r>
                    <w:rPr>
                      <w:rFonts w:hint="eastAsia"/>
                      <w:lang w:eastAsia="zh-CN"/>
                    </w:rPr>
                    <w:t>易</w:t>
                  </w:r>
                </w:p>
              </w:tc>
              <w:tc>
                <w:tcPr>
                  <w:tcW w:w="1287" w:type="dxa"/>
                  <w:vMerge w:val="restart"/>
                  <w:vAlign w:val="center"/>
                </w:tcPr>
                <w:p>
                  <w:pPr>
                    <w:pStyle w:val="56"/>
                  </w:pPr>
                  <w:r>
                    <w:rPr>
                      <w:rFonts w:hint="eastAsia"/>
                    </w:rPr>
                    <w:t>重金属、持久性有机污染物</w:t>
                  </w:r>
                </w:p>
              </w:tc>
              <w:tc>
                <w:tcPr>
                  <w:tcW w:w="2424" w:type="dxa"/>
                  <w:vMerge w:val="continue"/>
                  <w:tcBorders>
                    <w:right w:val="single" w:color="auto" w:sz="8" w:space="0"/>
                  </w:tcBorders>
                  <w:vAlign w:val="center"/>
                </w:tcPr>
                <w:p>
                  <w:pPr>
                    <w:pStyle w:val="56"/>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7" w:type="dxa"/>
                  <w:vMerge w:val="continue"/>
                  <w:tcBorders>
                    <w:left w:val="single" w:color="auto" w:sz="8" w:space="0"/>
                  </w:tcBorders>
                  <w:vAlign w:val="center"/>
                </w:tcPr>
                <w:p>
                  <w:pPr>
                    <w:pStyle w:val="56"/>
                  </w:pPr>
                </w:p>
              </w:tc>
              <w:tc>
                <w:tcPr>
                  <w:tcW w:w="973" w:type="dxa"/>
                  <w:vAlign w:val="center"/>
                </w:tcPr>
                <w:p>
                  <w:pPr>
                    <w:pStyle w:val="56"/>
                  </w:pPr>
                  <w:r>
                    <w:rPr>
                      <w:rFonts w:hint="eastAsia"/>
                    </w:rPr>
                    <w:t>强</w:t>
                  </w:r>
                </w:p>
              </w:tc>
              <w:tc>
                <w:tcPr>
                  <w:tcW w:w="1519" w:type="dxa"/>
                  <w:vAlign w:val="center"/>
                </w:tcPr>
                <w:p>
                  <w:pPr>
                    <w:pStyle w:val="56"/>
                  </w:pPr>
                  <w:r>
                    <w:rPr>
                      <w:rFonts w:hint="eastAsia"/>
                      <w:lang w:eastAsia="zh-CN"/>
                    </w:rPr>
                    <w:t>易</w:t>
                  </w:r>
                </w:p>
              </w:tc>
              <w:tc>
                <w:tcPr>
                  <w:tcW w:w="1287" w:type="dxa"/>
                  <w:vMerge w:val="continue"/>
                  <w:vAlign w:val="center"/>
                </w:tcPr>
                <w:p>
                  <w:pPr>
                    <w:pStyle w:val="56"/>
                  </w:pPr>
                </w:p>
              </w:tc>
              <w:tc>
                <w:tcPr>
                  <w:tcW w:w="2424" w:type="dxa"/>
                  <w:vMerge w:val="continue"/>
                  <w:tcBorders>
                    <w:right w:val="single" w:color="auto" w:sz="8" w:space="0"/>
                  </w:tcBorders>
                  <w:vAlign w:val="center"/>
                </w:tcPr>
                <w:p>
                  <w:pPr>
                    <w:pStyle w:val="56"/>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697" w:type="dxa"/>
                  <w:tcBorders>
                    <w:left w:val="single" w:color="auto" w:sz="8" w:space="0"/>
                    <w:bottom w:val="single" w:color="auto" w:sz="8" w:space="0"/>
                  </w:tcBorders>
                  <w:vAlign w:val="center"/>
                </w:tcPr>
                <w:p>
                  <w:pPr>
                    <w:pStyle w:val="56"/>
                  </w:pPr>
                  <w:r>
                    <w:rPr>
                      <w:rFonts w:hint="eastAsia"/>
                    </w:rPr>
                    <w:t>简单防渗区</w:t>
                  </w:r>
                </w:p>
              </w:tc>
              <w:tc>
                <w:tcPr>
                  <w:tcW w:w="973" w:type="dxa"/>
                  <w:tcBorders>
                    <w:bottom w:val="single" w:color="auto" w:sz="8" w:space="0"/>
                  </w:tcBorders>
                  <w:vAlign w:val="center"/>
                </w:tcPr>
                <w:p>
                  <w:pPr>
                    <w:pStyle w:val="56"/>
                  </w:pPr>
                  <w:r>
                    <w:rPr>
                      <w:rFonts w:hint="eastAsia"/>
                    </w:rPr>
                    <w:t>中—强</w:t>
                  </w:r>
                </w:p>
              </w:tc>
              <w:tc>
                <w:tcPr>
                  <w:tcW w:w="1519" w:type="dxa"/>
                  <w:tcBorders>
                    <w:bottom w:val="single" w:color="auto" w:sz="8" w:space="0"/>
                  </w:tcBorders>
                  <w:vAlign w:val="center"/>
                </w:tcPr>
                <w:p>
                  <w:pPr>
                    <w:pStyle w:val="56"/>
                  </w:pPr>
                  <w:r>
                    <w:rPr>
                      <w:rFonts w:hint="eastAsia"/>
                      <w:lang w:eastAsia="zh-CN"/>
                    </w:rPr>
                    <w:t>易</w:t>
                  </w:r>
                </w:p>
              </w:tc>
              <w:tc>
                <w:tcPr>
                  <w:tcW w:w="1287" w:type="dxa"/>
                  <w:tcBorders>
                    <w:bottom w:val="single" w:color="auto" w:sz="8" w:space="0"/>
                  </w:tcBorders>
                  <w:vAlign w:val="center"/>
                </w:tcPr>
                <w:p>
                  <w:pPr>
                    <w:pStyle w:val="56"/>
                  </w:pPr>
                  <w:r>
                    <w:rPr>
                      <w:rFonts w:hint="eastAsia"/>
                    </w:rPr>
                    <w:t>其他类型</w:t>
                  </w:r>
                </w:p>
              </w:tc>
              <w:tc>
                <w:tcPr>
                  <w:tcW w:w="2424" w:type="dxa"/>
                  <w:tcBorders>
                    <w:bottom w:val="single" w:color="auto" w:sz="8" w:space="0"/>
                    <w:right w:val="single" w:color="auto" w:sz="8" w:space="0"/>
                  </w:tcBorders>
                  <w:vAlign w:val="center"/>
                </w:tcPr>
                <w:p>
                  <w:pPr>
                    <w:pStyle w:val="56"/>
                  </w:pPr>
                  <w:r>
                    <w:rPr>
                      <w:rFonts w:hint="eastAsia"/>
                    </w:rPr>
                    <w:t>一般地面硬化</w:t>
                  </w:r>
                </w:p>
              </w:tc>
            </w:tr>
          </w:tbl>
          <w:p>
            <w:pPr>
              <w:ind w:firstLine="480"/>
              <w:rPr>
                <w:lang w:val="zh-CN"/>
              </w:rPr>
            </w:pPr>
            <w:r>
              <w:rPr>
                <w:rFonts w:hint="eastAsia"/>
                <w:lang w:val="zh-CN"/>
              </w:rPr>
              <w:t>①简单防渗区</w:t>
            </w:r>
          </w:p>
          <w:p>
            <w:pPr>
              <w:ind w:firstLine="480"/>
              <w:rPr>
                <w:lang w:val="zh-CN"/>
              </w:rPr>
            </w:pPr>
            <w:r>
              <w:rPr>
                <w:rFonts w:hint="eastAsia"/>
                <w:lang w:val="zh-CN"/>
              </w:rPr>
              <w:t>建设项目的简单防渗区主要包括更衣间、空调房、茶水间、卫生间、走廊、配电房等公用设施区域。</w:t>
            </w:r>
          </w:p>
          <w:p>
            <w:pPr>
              <w:ind w:firstLine="480"/>
              <w:rPr>
                <w:lang w:val="zh-CN"/>
              </w:rPr>
            </w:pPr>
            <w:r>
              <w:rPr>
                <w:rFonts w:hint="eastAsia"/>
                <w:lang w:val="zh-CN"/>
              </w:rPr>
              <w:t>②一般防渗区</w:t>
            </w:r>
          </w:p>
          <w:p>
            <w:pPr>
              <w:ind w:firstLine="480"/>
              <w:rPr>
                <w:lang w:val="zh-CN"/>
              </w:rPr>
            </w:pPr>
            <w:r>
              <w:rPr>
                <w:rFonts w:hint="eastAsia"/>
                <w:lang w:val="zh-CN"/>
              </w:rPr>
              <w:t>建设项目的一般防渗区主要包括各实验室、试剂、待检产品暂存室，样品间等。</w:t>
            </w:r>
          </w:p>
          <w:p>
            <w:pPr>
              <w:ind w:firstLine="480"/>
              <w:rPr>
                <w:lang w:val="zh-CN"/>
              </w:rPr>
            </w:pPr>
            <w:r>
              <w:rPr>
                <w:rFonts w:hint="eastAsia"/>
                <w:lang w:val="zh-CN"/>
              </w:rPr>
              <w:t>③重点防渗区</w:t>
            </w:r>
          </w:p>
          <w:p>
            <w:pPr>
              <w:ind w:firstLine="480"/>
              <w:rPr>
                <w:lang w:val="zh-CN"/>
              </w:rPr>
            </w:pPr>
            <w:r>
              <w:rPr>
                <w:rFonts w:hint="eastAsia"/>
                <w:lang w:val="zh-CN"/>
              </w:rPr>
              <w:t>项目的重点防渗区主要为危废暂存间。</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25</w:t>
            </w:r>
            <w:r>
              <w:fldChar w:fldCharType="end"/>
            </w:r>
            <w:r>
              <w:rPr>
                <w:rFonts w:hint="eastAsia" w:ascii="宋体" w:hAnsi="宋体" w:cs="宋体"/>
              </w:rPr>
              <w:t>地下水污染防治分区</w:t>
            </w:r>
            <w:r>
              <w:rPr>
                <w:rFonts w:hint="eastAsia" w:ascii="宋体" w:hAnsi="宋体" w:cs="宋体"/>
                <w:lang w:eastAsia="zh-CN"/>
              </w:rPr>
              <w:t>情况汇总</w:t>
            </w:r>
          </w:p>
          <w:tbl>
            <w:tblPr>
              <w:tblStyle w:val="6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25"/>
              <w:gridCol w:w="426"/>
              <w:gridCol w:w="607"/>
              <w:gridCol w:w="426"/>
              <w:gridCol w:w="426"/>
              <w:gridCol w:w="1611"/>
              <w:gridCol w:w="1943"/>
              <w:gridCol w:w="4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03" w:hRule="atLeast"/>
                <w:jc w:val="center"/>
              </w:trPr>
              <w:tc>
                <w:tcPr>
                  <w:tcW w:w="309" w:type="pct"/>
                  <w:tcBorders>
                    <w:top w:val="single" w:color="auto" w:sz="8" w:space="0"/>
                    <w:left w:val="single" w:color="auto" w:sz="8" w:space="0"/>
                    <w:bottom w:val="single" w:color="auto" w:sz="8" w:space="0"/>
                  </w:tcBorders>
                  <w:vAlign w:val="center"/>
                </w:tcPr>
                <w:p>
                  <w:pPr>
                    <w:pStyle w:val="56"/>
                  </w:pPr>
                  <w:r>
                    <w:rPr>
                      <w:rFonts w:hint="eastAsia"/>
                    </w:rPr>
                    <w:t>编号</w:t>
                  </w:r>
                </w:p>
              </w:tc>
              <w:tc>
                <w:tcPr>
                  <w:tcW w:w="614" w:type="pct"/>
                  <w:tcBorders>
                    <w:top w:val="single" w:color="auto" w:sz="8" w:space="0"/>
                    <w:bottom w:val="single" w:color="auto" w:sz="8" w:space="0"/>
                  </w:tcBorders>
                  <w:vAlign w:val="center"/>
                </w:tcPr>
                <w:p>
                  <w:pPr>
                    <w:pStyle w:val="56"/>
                  </w:pPr>
                  <w:r>
                    <w:rPr>
                      <w:rFonts w:hint="eastAsia"/>
                    </w:rPr>
                    <w:t>单元名称</w:t>
                  </w:r>
                </w:p>
              </w:tc>
              <w:tc>
                <w:tcPr>
                  <w:tcW w:w="309" w:type="pct"/>
                  <w:tcBorders>
                    <w:top w:val="single" w:color="auto" w:sz="8" w:space="0"/>
                    <w:bottom w:val="single" w:color="auto" w:sz="8" w:space="0"/>
                  </w:tcBorders>
                  <w:vAlign w:val="center"/>
                </w:tcPr>
                <w:p>
                  <w:pPr>
                    <w:pStyle w:val="56"/>
                  </w:pPr>
                  <w:r>
                    <w:rPr>
                      <w:rFonts w:hint="eastAsia"/>
                    </w:rPr>
                    <w:t>污染控制难易</w:t>
                  </w:r>
                </w:p>
              </w:tc>
              <w:tc>
                <w:tcPr>
                  <w:tcW w:w="461" w:type="pct"/>
                  <w:tcBorders>
                    <w:top w:val="single" w:color="auto" w:sz="8" w:space="0"/>
                    <w:bottom w:val="single" w:color="auto" w:sz="8" w:space="0"/>
                  </w:tcBorders>
                  <w:vAlign w:val="center"/>
                </w:tcPr>
                <w:p>
                  <w:pPr>
                    <w:pStyle w:val="56"/>
                  </w:pPr>
                  <w:r>
                    <w:rPr>
                      <w:rFonts w:hint="eastAsia"/>
                    </w:rPr>
                    <w:t>污染物</w:t>
                  </w:r>
                </w:p>
                <w:p>
                  <w:pPr>
                    <w:pStyle w:val="56"/>
                  </w:pPr>
                  <w:r>
                    <w:rPr>
                      <w:rFonts w:hint="eastAsia"/>
                    </w:rPr>
                    <w:t>类型</w:t>
                  </w:r>
                </w:p>
              </w:tc>
              <w:tc>
                <w:tcPr>
                  <w:tcW w:w="309" w:type="pct"/>
                  <w:tcBorders>
                    <w:top w:val="single" w:color="auto" w:sz="8" w:space="0"/>
                    <w:bottom w:val="single" w:color="auto" w:sz="8" w:space="0"/>
                  </w:tcBorders>
                  <w:vAlign w:val="center"/>
                </w:tcPr>
                <w:p>
                  <w:pPr>
                    <w:pStyle w:val="56"/>
                  </w:pPr>
                  <w:r>
                    <w:rPr>
                      <w:rFonts w:hint="eastAsia"/>
                    </w:rPr>
                    <w:t>污染防治</w:t>
                  </w:r>
                </w:p>
                <w:p>
                  <w:pPr>
                    <w:pStyle w:val="56"/>
                  </w:pPr>
                  <w:r>
                    <w:rPr>
                      <w:rFonts w:hint="eastAsia"/>
                    </w:rPr>
                    <w:t>类别</w:t>
                  </w:r>
                </w:p>
              </w:tc>
              <w:tc>
                <w:tcPr>
                  <w:tcW w:w="309" w:type="pct"/>
                  <w:tcBorders>
                    <w:top w:val="single" w:color="auto" w:sz="8" w:space="0"/>
                    <w:bottom w:val="single" w:color="auto" w:sz="8" w:space="0"/>
                  </w:tcBorders>
                  <w:vAlign w:val="center"/>
                </w:tcPr>
                <w:p>
                  <w:pPr>
                    <w:pStyle w:val="56"/>
                  </w:pPr>
                  <w:r>
                    <w:rPr>
                      <w:rFonts w:hint="eastAsia"/>
                    </w:rPr>
                    <w:t>污染防治区</w:t>
                  </w:r>
                </w:p>
                <w:p>
                  <w:pPr>
                    <w:pStyle w:val="56"/>
                  </w:pPr>
                  <w:r>
                    <w:rPr>
                      <w:rFonts w:hint="eastAsia"/>
                    </w:rPr>
                    <w:t>域及部位</w:t>
                  </w:r>
                </w:p>
              </w:tc>
              <w:tc>
                <w:tcPr>
                  <w:tcW w:w="1177" w:type="pct"/>
                  <w:tcBorders>
                    <w:top w:val="single" w:color="auto" w:sz="8" w:space="0"/>
                    <w:bottom w:val="single" w:color="auto" w:sz="8" w:space="0"/>
                    <w:right w:val="single" w:color="auto" w:sz="8" w:space="0"/>
                  </w:tcBorders>
                  <w:vAlign w:val="center"/>
                </w:tcPr>
                <w:p>
                  <w:pPr>
                    <w:pStyle w:val="56"/>
                  </w:pPr>
                  <w:r>
                    <w:rPr>
                      <w:rFonts w:hint="eastAsia"/>
                      <w:lang w:eastAsia="zh-CN"/>
                    </w:rPr>
                    <w:t>防渗措施</w:t>
                  </w:r>
                </w:p>
              </w:tc>
              <w:tc>
                <w:tcPr>
                  <w:tcW w:w="1512" w:type="pct"/>
                  <w:gridSpan w:val="2"/>
                  <w:tcBorders>
                    <w:top w:val="single" w:color="auto" w:sz="8" w:space="0"/>
                    <w:bottom w:val="single" w:color="auto" w:sz="8" w:space="0"/>
                    <w:right w:val="single" w:color="auto" w:sz="8" w:space="0"/>
                  </w:tcBorders>
                  <w:vAlign w:val="center"/>
                </w:tcPr>
                <w:p>
                  <w:pPr>
                    <w:pStyle w:val="56"/>
                  </w:pPr>
                  <w:r>
                    <w:rPr>
                      <w:rFonts w:hint="eastAsia"/>
                      <w:lang w:eastAsia="zh-CN"/>
                    </w:rPr>
                    <w:t>防渗要求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09" w:type="pct"/>
                  <w:tcBorders>
                    <w:top w:val="single" w:color="auto" w:sz="8" w:space="0"/>
                    <w:left w:val="single" w:color="auto" w:sz="8" w:space="0"/>
                    <w:bottom w:val="single" w:color="auto" w:sz="8" w:space="0"/>
                  </w:tcBorders>
                  <w:vAlign w:val="center"/>
                </w:tcPr>
                <w:p>
                  <w:pPr>
                    <w:pStyle w:val="56"/>
                  </w:pPr>
                  <w:r>
                    <w:rPr>
                      <w:rFonts w:hint="eastAsia"/>
                      <w:lang w:eastAsia="zh-CN"/>
                    </w:rPr>
                    <w:t>1</w:t>
                  </w:r>
                </w:p>
              </w:tc>
              <w:tc>
                <w:tcPr>
                  <w:tcW w:w="614" w:type="pct"/>
                  <w:tcBorders>
                    <w:top w:val="single" w:color="auto" w:sz="8" w:space="0"/>
                    <w:bottom w:val="single" w:color="auto" w:sz="8" w:space="0"/>
                  </w:tcBorders>
                  <w:vAlign w:val="center"/>
                </w:tcPr>
                <w:p>
                  <w:pPr>
                    <w:pStyle w:val="56"/>
                  </w:pPr>
                  <w:r>
                    <w:rPr>
                      <w:rFonts w:hint="eastAsia"/>
                    </w:rPr>
                    <w:t>更衣间、空调房、茶水间、卫生间、走廊、配电房等公用设施区域</w:t>
                  </w:r>
                </w:p>
              </w:tc>
              <w:tc>
                <w:tcPr>
                  <w:tcW w:w="309" w:type="pct"/>
                  <w:tcBorders>
                    <w:top w:val="single" w:color="auto" w:sz="8" w:space="0"/>
                    <w:bottom w:val="single" w:color="auto" w:sz="8" w:space="0"/>
                  </w:tcBorders>
                  <w:vAlign w:val="center"/>
                </w:tcPr>
                <w:p>
                  <w:pPr>
                    <w:pStyle w:val="56"/>
                  </w:pPr>
                  <w:r>
                    <w:rPr>
                      <w:rFonts w:hint="eastAsia"/>
                      <w:lang w:eastAsia="zh-CN"/>
                    </w:rPr>
                    <w:t>易</w:t>
                  </w:r>
                </w:p>
              </w:tc>
              <w:tc>
                <w:tcPr>
                  <w:tcW w:w="461" w:type="pct"/>
                  <w:tcBorders>
                    <w:top w:val="single" w:color="auto" w:sz="8" w:space="0"/>
                    <w:bottom w:val="single" w:color="auto" w:sz="8" w:space="0"/>
                  </w:tcBorders>
                  <w:vAlign w:val="center"/>
                </w:tcPr>
                <w:p>
                  <w:pPr>
                    <w:pStyle w:val="56"/>
                  </w:pPr>
                  <w:r>
                    <w:rPr>
                      <w:rFonts w:hint="eastAsia"/>
                      <w:lang w:eastAsia="zh-CN"/>
                    </w:rPr>
                    <w:t>其他</w:t>
                  </w:r>
                </w:p>
              </w:tc>
              <w:tc>
                <w:tcPr>
                  <w:tcW w:w="309" w:type="pct"/>
                  <w:tcBorders>
                    <w:top w:val="single" w:color="auto" w:sz="8" w:space="0"/>
                    <w:bottom w:val="single" w:color="auto" w:sz="8" w:space="0"/>
                  </w:tcBorders>
                  <w:vAlign w:val="center"/>
                </w:tcPr>
                <w:p>
                  <w:pPr>
                    <w:pStyle w:val="56"/>
                  </w:pPr>
                  <w:r>
                    <w:rPr>
                      <w:rFonts w:hint="eastAsia"/>
                      <w:lang w:eastAsia="zh-CN"/>
                    </w:rPr>
                    <w:t>简单防渗</w:t>
                  </w:r>
                </w:p>
              </w:tc>
              <w:tc>
                <w:tcPr>
                  <w:tcW w:w="309" w:type="pct"/>
                  <w:tcBorders>
                    <w:top w:val="single" w:color="auto" w:sz="8" w:space="0"/>
                    <w:bottom w:val="single" w:color="auto" w:sz="8" w:space="0"/>
                  </w:tcBorders>
                  <w:vAlign w:val="center"/>
                </w:tcPr>
                <w:p>
                  <w:pPr>
                    <w:pStyle w:val="56"/>
                  </w:pPr>
                  <w:r>
                    <w:rPr>
                      <w:rFonts w:hint="eastAsia"/>
                      <w:lang w:eastAsia="zh-CN"/>
                    </w:rPr>
                    <w:t>地面</w:t>
                  </w:r>
                </w:p>
              </w:tc>
              <w:tc>
                <w:tcPr>
                  <w:tcW w:w="1177" w:type="pct"/>
                  <w:tcBorders>
                    <w:top w:val="single" w:color="auto" w:sz="8" w:space="0"/>
                    <w:bottom w:val="single" w:color="auto" w:sz="8" w:space="0"/>
                    <w:right w:val="single" w:color="auto" w:sz="8" w:space="0"/>
                  </w:tcBorders>
                  <w:vAlign w:val="center"/>
                </w:tcPr>
                <w:p>
                  <w:pPr>
                    <w:pStyle w:val="56"/>
                    <w:rPr>
                      <w:lang w:val="en-US"/>
                    </w:rPr>
                  </w:pPr>
                  <w:r>
                    <w:rPr>
                      <w:rFonts w:hint="eastAsia"/>
                      <w:lang w:val="en-US" w:eastAsia="zh-CN"/>
                    </w:rPr>
                    <w:t>1、DWM20水泥砂浆，1%坡向地漏，最低处20mm厚；</w:t>
                  </w:r>
                </w:p>
                <w:p>
                  <w:pPr>
                    <w:pStyle w:val="56"/>
                  </w:pPr>
                  <w:r>
                    <w:rPr>
                      <w:rFonts w:hint="eastAsia"/>
                      <w:lang w:val="en-US" w:eastAsia="zh-CN"/>
                    </w:rPr>
                    <w:t>2、2mm厚聚氨酯防水涂料，四周沿墙面上翻覆盖墙面防水层250mm高；</w:t>
                  </w:r>
                </w:p>
                <w:p>
                  <w:pPr>
                    <w:pStyle w:val="56"/>
                    <w:rPr>
                      <w:lang w:val="en-US"/>
                    </w:rPr>
                  </w:pPr>
                  <w:r>
                    <w:rPr>
                      <w:rFonts w:hint="eastAsia"/>
                      <w:lang w:val="en-US" w:eastAsia="zh-CN"/>
                    </w:rPr>
                    <w:t>3、20mm厚DWM15水泥防水砂浆找平层（参外加剂）</w:t>
                  </w:r>
                </w:p>
                <w:p>
                  <w:pPr>
                    <w:pStyle w:val="56"/>
                  </w:pPr>
                  <w:r>
                    <w:rPr>
                      <w:rFonts w:hint="eastAsia"/>
                      <w:lang w:val="en-US" w:eastAsia="zh-CN"/>
                    </w:rPr>
                    <w:t>4、钢筋混凝土楼板，随浆找平抹光。</w:t>
                  </w:r>
                </w:p>
              </w:tc>
              <w:tc>
                <w:tcPr>
                  <w:tcW w:w="1512" w:type="pct"/>
                  <w:gridSpan w:val="2"/>
                  <w:tcBorders>
                    <w:top w:val="single" w:color="auto" w:sz="8" w:space="0"/>
                    <w:bottom w:val="single" w:color="auto" w:sz="8" w:space="0"/>
                    <w:right w:val="single" w:color="auto" w:sz="8" w:space="0"/>
                  </w:tcBorders>
                  <w:vAlign w:val="center"/>
                </w:tcPr>
                <w:p>
                  <w:pPr>
                    <w:pStyle w:val="56"/>
                  </w:pPr>
                  <w:r>
                    <w:rPr>
                      <w:rFonts w:hint="eastAsia"/>
                      <w:kern w:val="0"/>
                      <w:lang w:val="en-US" w:eastAsia="zh-CN" w:bidi="ar"/>
                    </w:rPr>
                    <w:t>《环境影响评价技术导则地下水环境》（HJ610-2016）一般防渗区要求：一般地面硬化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09" w:type="pct"/>
                  <w:tcBorders>
                    <w:top w:val="single" w:color="auto" w:sz="8" w:space="0"/>
                    <w:left w:val="single" w:color="auto" w:sz="8" w:space="0"/>
                    <w:bottom w:val="single" w:color="auto" w:sz="8" w:space="0"/>
                  </w:tcBorders>
                  <w:vAlign w:val="center"/>
                </w:tcPr>
                <w:p>
                  <w:pPr>
                    <w:pStyle w:val="56"/>
                    <w:rPr>
                      <w:lang w:val="en-US"/>
                    </w:rPr>
                  </w:pPr>
                  <w:r>
                    <w:rPr>
                      <w:rFonts w:hint="eastAsia"/>
                      <w:lang w:val="en-US" w:eastAsia="zh-CN"/>
                    </w:rPr>
                    <w:t>2</w:t>
                  </w:r>
                </w:p>
              </w:tc>
              <w:tc>
                <w:tcPr>
                  <w:tcW w:w="614" w:type="pct"/>
                  <w:tcBorders>
                    <w:top w:val="single" w:color="auto" w:sz="8" w:space="0"/>
                    <w:bottom w:val="single" w:color="auto" w:sz="8" w:space="0"/>
                  </w:tcBorders>
                  <w:vAlign w:val="center"/>
                </w:tcPr>
                <w:p>
                  <w:pPr>
                    <w:pStyle w:val="56"/>
                    <w:rPr>
                      <w:lang w:val="en-US"/>
                    </w:rPr>
                  </w:pPr>
                  <w:r>
                    <w:rPr>
                      <w:rFonts w:hint="eastAsia"/>
                    </w:rPr>
                    <w:t>各实验室、试剂、待检产品暂存室，样品间</w:t>
                  </w:r>
                </w:p>
              </w:tc>
              <w:tc>
                <w:tcPr>
                  <w:tcW w:w="309" w:type="pct"/>
                  <w:tcBorders>
                    <w:top w:val="single" w:color="auto" w:sz="8" w:space="0"/>
                    <w:bottom w:val="single" w:color="auto" w:sz="8" w:space="0"/>
                  </w:tcBorders>
                  <w:vAlign w:val="center"/>
                </w:tcPr>
                <w:p>
                  <w:pPr>
                    <w:pStyle w:val="56"/>
                  </w:pPr>
                  <w:r>
                    <w:rPr>
                      <w:rFonts w:hint="eastAsia"/>
                      <w:lang w:eastAsia="zh-CN"/>
                    </w:rPr>
                    <w:t>易</w:t>
                  </w:r>
                </w:p>
              </w:tc>
              <w:tc>
                <w:tcPr>
                  <w:tcW w:w="461" w:type="pct"/>
                  <w:tcBorders>
                    <w:top w:val="single" w:color="auto" w:sz="8" w:space="0"/>
                    <w:bottom w:val="single" w:color="auto" w:sz="8" w:space="0"/>
                  </w:tcBorders>
                  <w:vAlign w:val="center"/>
                </w:tcPr>
                <w:p>
                  <w:pPr>
                    <w:pStyle w:val="56"/>
                    <w:rPr>
                      <w:lang w:eastAsia="zh-CN"/>
                    </w:rPr>
                  </w:pPr>
                  <w:r>
                    <w:rPr>
                      <w:rFonts w:hint="eastAsia"/>
                      <w:lang w:eastAsia="zh-CN"/>
                    </w:rPr>
                    <w:t>检验废液</w:t>
                  </w:r>
                </w:p>
              </w:tc>
              <w:tc>
                <w:tcPr>
                  <w:tcW w:w="309" w:type="pct"/>
                  <w:tcBorders>
                    <w:top w:val="single" w:color="auto" w:sz="8" w:space="0"/>
                    <w:bottom w:val="single" w:color="auto" w:sz="8" w:space="0"/>
                  </w:tcBorders>
                  <w:vAlign w:val="center"/>
                </w:tcPr>
                <w:p>
                  <w:pPr>
                    <w:pStyle w:val="56"/>
                    <w:rPr>
                      <w:lang w:eastAsia="zh-CN"/>
                    </w:rPr>
                  </w:pPr>
                  <w:r>
                    <w:rPr>
                      <w:rFonts w:hint="eastAsia"/>
                      <w:lang w:eastAsia="zh-CN"/>
                    </w:rPr>
                    <w:t>一般防渗</w:t>
                  </w:r>
                </w:p>
              </w:tc>
              <w:tc>
                <w:tcPr>
                  <w:tcW w:w="309" w:type="pct"/>
                  <w:tcBorders>
                    <w:top w:val="single" w:color="auto" w:sz="8" w:space="0"/>
                    <w:bottom w:val="single" w:color="auto" w:sz="8" w:space="0"/>
                  </w:tcBorders>
                  <w:vAlign w:val="center"/>
                </w:tcPr>
                <w:p>
                  <w:pPr>
                    <w:pStyle w:val="56"/>
                  </w:pPr>
                  <w:r>
                    <w:rPr>
                      <w:rFonts w:hint="eastAsia"/>
                      <w:lang w:eastAsia="zh-CN"/>
                    </w:rPr>
                    <w:t>地面</w:t>
                  </w:r>
                </w:p>
              </w:tc>
              <w:tc>
                <w:tcPr>
                  <w:tcW w:w="1177" w:type="pct"/>
                  <w:tcBorders>
                    <w:top w:val="single" w:color="auto" w:sz="8" w:space="0"/>
                    <w:bottom w:val="single" w:color="auto" w:sz="8" w:space="0"/>
                    <w:right w:val="single" w:color="auto" w:sz="8" w:space="0"/>
                  </w:tcBorders>
                  <w:vAlign w:val="center"/>
                </w:tcPr>
                <w:p>
                  <w:pPr>
                    <w:pStyle w:val="56"/>
                    <w:rPr>
                      <w:lang w:val="en-US"/>
                    </w:rPr>
                  </w:pPr>
                  <w:r>
                    <w:rPr>
                      <w:rFonts w:hint="eastAsia"/>
                      <w:lang w:val="en-US" w:eastAsia="zh-CN"/>
                    </w:rPr>
                    <w:t>1、DWM20水泥砂浆，最低处20mm厚；</w:t>
                  </w:r>
                </w:p>
                <w:p>
                  <w:pPr>
                    <w:pStyle w:val="56"/>
                  </w:pPr>
                  <w:r>
                    <w:rPr>
                      <w:rFonts w:hint="eastAsia"/>
                      <w:lang w:val="en-US" w:eastAsia="zh-CN"/>
                    </w:rPr>
                    <w:t>2、2mm厚聚氨酯防水涂料，四周沿墙面上翻覆盖墙面防水层250mm高；</w:t>
                  </w:r>
                </w:p>
                <w:p>
                  <w:pPr>
                    <w:pStyle w:val="56"/>
                    <w:rPr>
                      <w:lang w:val="en-US"/>
                    </w:rPr>
                  </w:pPr>
                  <w:r>
                    <w:rPr>
                      <w:rFonts w:hint="eastAsia"/>
                      <w:lang w:val="en-US" w:eastAsia="zh-CN"/>
                    </w:rPr>
                    <w:t>3、20mm厚DWM15水泥防水砂浆找平层（参外加剂）</w:t>
                  </w:r>
                </w:p>
                <w:p>
                  <w:pPr>
                    <w:pStyle w:val="56"/>
                  </w:pPr>
                  <w:r>
                    <w:rPr>
                      <w:rFonts w:hint="eastAsia"/>
                      <w:lang w:val="en-US" w:eastAsia="zh-CN"/>
                    </w:rPr>
                    <w:t>4、钢筋混凝土楼板，随浆找平抹光。</w:t>
                  </w:r>
                </w:p>
              </w:tc>
              <w:tc>
                <w:tcPr>
                  <w:tcW w:w="1512" w:type="pct"/>
                  <w:gridSpan w:val="2"/>
                  <w:tcBorders>
                    <w:top w:val="single" w:color="auto" w:sz="8" w:space="0"/>
                    <w:right w:val="single" w:color="auto" w:sz="8" w:space="0"/>
                  </w:tcBorders>
                  <w:vAlign w:val="center"/>
                </w:tcPr>
                <w:p>
                  <w:pPr>
                    <w:pStyle w:val="56"/>
                  </w:pPr>
                  <w:r>
                    <w:rPr>
                      <w:rFonts w:hint="eastAsia"/>
                      <w:kern w:val="0"/>
                      <w:lang w:val="en-US" w:eastAsia="zh-CN" w:bidi="ar"/>
                    </w:rPr>
                    <w:t>《环境影响评价技术导则地下水环境》（HJ610-2016）一般防渗区要求：等效黏土防渗层</w:t>
                  </w:r>
                  <w:r>
                    <w:rPr>
                      <w:rFonts w:hint="eastAsia"/>
                      <w:i/>
                      <w:iCs/>
                      <w:kern w:val="0"/>
                      <w:lang w:val="en-US" w:eastAsia="zh-CN" w:bidi="ar"/>
                    </w:rPr>
                    <w:t>Mb</w:t>
                  </w:r>
                  <w:r>
                    <w:rPr>
                      <w:rFonts w:hint="eastAsia"/>
                      <w:kern w:val="0"/>
                      <w:lang w:val="en-US" w:eastAsia="zh-CN" w:bidi="ar"/>
                    </w:rPr>
                    <w:t>≥1.5m，</w:t>
                  </w:r>
                  <w:r>
                    <w:rPr>
                      <w:rFonts w:hint="eastAsia"/>
                      <w:i/>
                      <w:iCs/>
                      <w:kern w:val="0"/>
                      <w:lang w:val="en-US" w:eastAsia="zh-CN" w:bidi="ar"/>
                    </w:rPr>
                    <w:t>K</w:t>
                  </w:r>
                  <w:r>
                    <w:rPr>
                      <w:rFonts w:hint="eastAsia"/>
                      <w:kern w:val="0"/>
                      <w:lang w:val="en-US" w:eastAsia="zh-CN" w:bidi="ar"/>
                    </w:rPr>
                    <w:t>≤1.0×10</w:t>
                  </w:r>
                  <w:r>
                    <w:rPr>
                      <w:rFonts w:hint="eastAsia"/>
                      <w:kern w:val="0"/>
                      <w:vertAlign w:val="superscript"/>
                      <w:lang w:val="en-US" w:eastAsia="zh-CN" w:bidi="ar"/>
                    </w:rPr>
                    <w:t>-7</w:t>
                  </w:r>
                  <w:r>
                    <w:rPr>
                      <w:rFonts w:hint="eastAsia"/>
                      <w:kern w:val="0"/>
                      <w:lang w:val="en-US" w:eastAsia="zh-CN" w:bidi="ar"/>
                    </w:rPr>
                    <w:t>cm/s；</w:t>
                  </w:r>
                </w:p>
                <w:p>
                  <w:pPr>
                    <w:pStyle w:val="56"/>
                    <w:rPr>
                      <w:highlight w:val="gree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96" w:hRule="atLeast"/>
                <w:jc w:val="center"/>
              </w:trPr>
              <w:tc>
                <w:tcPr>
                  <w:tcW w:w="309" w:type="pct"/>
                  <w:vMerge w:val="restart"/>
                  <w:tcBorders>
                    <w:top w:val="single" w:color="auto" w:sz="8" w:space="0"/>
                    <w:left w:val="single" w:color="auto" w:sz="8" w:space="0"/>
                  </w:tcBorders>
                  <w:vAlign w:val="center"/>
                </w:tcPr>
                <w:p>
                  <w:pPr>
                    <w:pStyle w:val="56"/>
                    <w:rPr>
                      <w:lang w:val="en-US"/>
                    </w:rPr>
                  </w:pPr>
                  <w:r>
                    <w:rPr>
                      <w:rFonts w:hint="eastAsia"/>
                      <w:lang w:val="en-US" w:eastAsia="zh-CN"/>
                    </w:rPr>
                    <w:t>5</w:t>
                  </w:r>
                </w:p>
              </w:tc>
              <w:tc>
                <w:tcPr>
                  <w:tcW w:w="614" w:type="pct"/>
                  <w:vMerge w:val="restart"/>
                  <w:tcBorders>
                    <w:top w:val="single" w:color="auto" w:sz="8" w:space="0"/>
                  </w:tcBorders>
                  <w:vAlign w:val="center"/>
                </w:tcPr>
                <w:p>
                  <w:pPr>
                    <w:pStyle w:val="56"/>
                  </w:pPr>
                  <w:r>
                    <w:rPr>
                      <w:rFonts w:hint="eastAsia"/>
                    </w:rPr>
                    <w:t>医疗废物暂存间</w:t>
                  </w:r>
                </w:p>
              </w:tc>
              <w:tc>
                <w:tcPr>
                  <w:tcW w:w="309" w:type="pct"/>
                  <w:vMerge w:val="restart"/>
                  <w:tcBorders>
                    <w:top w:val="single" w:color="auto" w:sz="8" w:space="0"/>
                  </w:tcBorders>
                  <w:vAlign w:val="center"/>
                </w:tcPr>
                <w:p>
                  <w:pPr>
                    <w:pStyle w:val="56"/>
                  </w:pPr>
                  <w:r>
                    <w:rPr>
                      <w:rFonts w:hint="eastAsia"/>
                      <w:lang w:eastAsia="zh-CN"/>
                    </w:rPr>
                    <w:t>难</w:t>
                  </w:r>
                </w:p>
              </w:tc>
              <w:tc>
                <w:tcPr>
                  <w:tcW w:w="461" w:type="pct"/>
                  <w:vMerge w:val="restart"/>
                  <w:tcBorders>
                    <w:top w:val="single" w:color="auto" w:sz="8" w:space="0"/>
                  </w:tcBorders>
                  <w:vAlign w:val="center"/>
                </w:tcPr>
                <w:p>
                  <w:pPr>
                    <w:pStyle w:val="56"/>
                  </w:pPr>
                  <w:r>
                    <w:rPr>
                      <w:rFonts w:hint="eastAsia"/>
                      <w:lang w:eastAsia="zh-CN"/>
                    </w:rPr>
                    <w:t>危险废物</w:t>
                  </w:r>
                </w:p>
              </w:tc>
              <w:tc>
                <w:tcPr>
                  <w:tcW w:w="309" w:type="pct"/>
                  <w:vMerge w:val="restart"/>
                  <w:tcBorders>
                    <w:top w:val="single" w:color="auto" w:sz="8" w:space="0"/>
                  </w:tcBorders>
                  <w:vAlign w:val="center"/>
                </w:tcPr>
                <w:p>
                  <w:pPr>
                    <w:pStyle w:val="56"/>
                  </w:pPr>
                  <w:r>
                    <w:rPr>
                      <w:rFonts w:hint="eastAsia"/>
                      <w:lang w:eastAsia="zh-CN"/>
                    </w:rPr>
                    <w:t>重点防渗</w:t>
                  </w:r>
                </w:p>
              </w:tc>
              <w:tc>
                <w:tcPr>
                  <w:tcW w:w="309" w:type="pct"/>
                  <w:vMerge w:val="restart"/>
                  <w:tcBorders>
                    <w:top w:val="single" w:color="auto" w:sz="8" w:space="0"/>
                  </w:tcBorders>
                  <w:vAlign w:val="center"/>
                </w:tcPr>
                <w:p>
                  <w:pPr>
                    <w:pStyle w:val="56"/>
                  </w:pPr>
                  <w:r>
                    <w:rPr>
                      <w:rFonts w:hint="eastAsia"/>
                      <w:lang w:eastAsia="zh-CN"/>
                    </w:rPr>
                    <w:t>地面</w:t>
                  </w:r>
                </w:p>
              </w:tc>
              <w:tc>
                <w:tcPr>
                  <w:tcW w:w="1177" w:type="pct"/>
                  <w:vMerge w:val="restart"/>
                  <w:tcBorders>
                    <w:top w:val="single" w:color="auto" w:sz="8" w:space="0"/>
                    <w:right w:val="single" w:color="auto" w:sz="8" w:space="0"/>
                  </w:tcBorders>
                  <w:vAlign w:val="center"/>
                </w:tcPr>
                <w:p>
                  <w:pPr>
                    <w:pStyle w:val="56"/>
                    <w:rPr>
                      <w:lang w:val="en-US"/>
                    </w:rPr>
                  </w:pPr>
                  <w:r>
                    <w:rPr>
                      <w:rFonts w:hint="eastAsia"/>
                      <w:lang w:val="en-US" w:eastAsia="zh-CN"/>
                    </w:rPr>
                    <w:t>1、DWM20水泥砂浆，最低处20mm厚；</w:t>
                  </w:r>
                </w:p>
                <w:p>
                  <w:pPr>
                    <w:pStyle w:val="56"/>
                  </w:pPr>
                  <w:r>
                    <w:rPr>
                      <w:rFonts w:hint="eastAsia"/>
                      <w:lang w:val="en-US" w:eastAsia="zh-CN"/>
                    </w:rPr>
                    <w:t>2、基础防渗层采用2mm厚高密度聚乙烯，四周沿墙面上翻覆盖墙面防水层250mm高；</w:t>
                  </w:r>
                </w:p>
                <w:p>
                  <w:pPr>
                    <w:pStyle w:val="56"/>
                    <w:rPr>
                      <w:lang w:val="en-US"/>
                    </w:rPr>
                  </w:pPr>
                  <w:r>
                    <w:rPr>
                      <w:rFonts w:hint="eastAsia"/>
                      <w:lang w:val="en-US" w:eastAsia="zh-CN"/>
                    </w:rPr>
                    <w:t>3、20mm厚DWM15水泥防水砂浆找平层（参外加剂）；</w:t>
                  </w:r>
                </w:p>
                <w:p>
                  <w:pPr>
                    <w:pStyle w:val="56"/>
                    <w:rPr>
                      <w:highlight w:val="green"/>
                    </w:rPr>
                  </w:pPr>
                  <w:r>
                    <w:rPr>
                      <w:rFonts w:hint="eastAsia"/>
                      <w:lang w:val="en-US" w:eastAsia="zh-CN"/>
                    </w:rPr>
                    <w:t>4、钢筋混凝土楼板，随浆找平抹光。</w:t>
                  </w:r>
                </w:p>
              </w:tc>
              <w:tc>
                <w:tcPr>
                  <w:tcW w:w="1203" w:type="pct"/>
                  <w:tcBorders>
                    <w:top w:val="single" w:color="auto" w:sz="8" w:space="0"/>
                    <w:bottom w:val="single" w:color="auto" w:sz="4" w:space="0"/>
                    <w:right w:val="single" w:color="auto" w:sz="4" w:space="0"/>
                  </w:tcBorders>
                  <w:vAlign w:val="center"/>
                </w:tcPr>
                <w:p>
                  <w:pPr>
                    <w:pStyle w:val="56"/>
                  </w:pPr>
                  <w:r>
                    <w:rPr>
                      <w:rFonts w:hint="eastAsia"/>
                      <w:lang w:eastAsia="zh-CN"/>
                    </w:rPr>
                    <w:t>《危险废物储存污染控制标准》（</w:t>
                  </w:r>
                  <w:r>
                    <w:rPr>
                      <w:rFonts w:hint="eastAsia"/>
                      <w:lang w:val="en-US" w:eastAsia="zh-CN"/>
                    </w:rPr>
                    <w:t>GB18597-2001</w:t>
                  </w:r>
                  <w:r>
                    <w:rPr>
                      <w:rFonts w:hint="eastAsia"/>
                      <w:lang w:eastAsia="zh-CN"/>
                    </w:rPr>
                    <w:t>）及</w:t>
                  </w:r>
                  <w:r>
                    <w:rPr>
                      <w:rFonts w:hint="eastAsia"/>
                      <w:lang w:val="en-US" w:eastAsia="zh-CN"/>
                    </w:rPr>
                    <w:t>2013修改单中：6.3.1</w:t>
                  </w:r>
                </w:p>
                <w:p>
                  <w:pPr>
                    <w:pStyle w:val="56"/>
                    <w:rPr>
                      <w:highlight w:val="green"/>
                    </w:rPr>
                  </w:pPr>
                  <w:r>
                    <w:rPr>
                      <w:rFonts w:hint="eastAsia"/>
                      <w:lang w:val="en-US" w:eastAsia="zh-CN"/>
                    </w:rPr>
                    <w:t>基础必须防渗，防渗层为至少1m厚粘土层(渗透系数≤10</w:t>
                  </w:r>
                  <w:r>
                    <w:rPr>
                      <w:rFonts w:hint="eastAsia"/>
                      <w:vertAlign w:val="superscript"/>
                      <w:lang w:val="en-US" w:eastAsia="zh-CN"/>
                    </w:rPr>
                    <w:t>-7</w:t>
                  </w:r>
                  <w:r>
                    <w:rPr>
                      <w:rFonts w:hint="eastAsia"/>
                      <w:lang w:val="en-US" w:eastAsia="zh-CN"/>
                    </w:rPr>
                    <w:t>cm/s)，或2mm厚高密度聚乙烯，或至少2mm厚的其它人工材料，渗透系数≤10</w:t>
                  </w:r>
                  <w:r>
                    <w:rPr>
                      <w:rFonts w:hint="eastAsia"/>
                      <w:vertAlign w:val="superscript"/>
                      <w:lang w:val="en-US" w:eastAsia="zh-CN"/>
                    </w:rPr>
                    <w:t>-10</w:t>
                  </w:r>
                  <w:r>
                    <w:rPr>
                      <w:rFonts w:hint="eastAsia"/>
                      <w:lang w:val="en-US" w:eastAsia="zh-CN"/>
                    </w:rPr>
                    <w:t>cm/s.</w:t>
                  </w:r>
                </w:p>
              </w:tc>
              <w:tc>
                <w:tcPr>
                  <w:tcW w:w="309" w:type="pct"/>
                  <w:vMerge w:val="restart"/>
                  <w:tcBorders>
                    <w:top w:val="single" w:color="auto" w:sz="8" w:space="0"/>
                    <w:left w:val="single" w:color="auto" w:sz="4" w:space="0"/>
                    <w:right w:val="single" w:color="auto" w:sz="8" w:space="0"/>
                  </w:tcBorders>
                  <w:vAlign w:val="center"/>
                </w:tcPr>
                <w:p>
                  <w:pPr>
                    <w:pStyle w:val="56"/>
                    <w:rPr>
                      <w:highlight w:val="green"/>
                      <w:lang w:val="en-US"/>
                    </w:rPr>
                  </w:pPr>
                  <w:r>
                    <w:rPr>
                      <w:rFonts w:hint="eastAsia"/>
                      <w:lang w:val="en-US" w:eastAsia="zh-CN"/>
                    </w:rPr>
                    <w:t>两者较严值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309" w:type="pct"/>
                  <w:vMerge w:val="continue"/>
                  <w:tcBorders>
                    <w:left w:val="single" w:color="auto" w:sz="8" w:space="0"/>
                    <w:bottom w:val="single" w:color="auto" w:sz="8" w:space="0"/>
                  </w:tcBorders>
                  <w:vAlign w:val="center"/>
                </w:tcPr>
                <w:p>
                  <w:pPr>
                    <w:pStyle w:val="56"/>
                    <w:rPr>
                      <w:lang w:val="en-US"/>
                    </w:rPr>
                  </w:pPr>
                </w:p>
              </w:tc>
              <w:tc>
                <w:tcPr>
                  <w:tcW w:w="614" w:type="pct"/>
                  <w:vMerge w:val="continue"/>
                  <w:tcBorders>
                    <w:bottom w:val="single" w:color="auto" w:sz="8" w:space="0"/>
                  </w:tcBorders>
                  <w:vAlign w:val="center"/>
                </w:tcPr>
                <w:p>
                  <w:pPr>
                    <w:pStyle w:val="56"/>
                  </w:pPr>
                </w:p>
              </w:tc>
              <w:tc>
                <w:tcPr>
                  <w:tcW w:w="309" w:type="pct"/>
                  <w:vMerge w:val="continue"/>
                  <w:tcBorders>
                    <w:bottom w:val="single" w:color="auto" w:sz="8" w:space="0"/>
                  </w:tcBorders>
                  <w:vAlign w:val="center"/>
                </w:tcPr>
                <w:p>
                  <w:pPr>
                    <w:pStyle w:val="56"/>
                  </w:pPr>
                </w:p>
              </w:tc>
              <w:tc>
                <w:tcPr>
                  <w:tcW w:w="461" w:type="pct"/>
                  <w:vMerge w:val="continue"/>
                  <w:tcBorders>
                    <w:bottom w:val="single" w:color="auto" w:sz="8" w:space="0"/>
                  </w:tcBorders>
                  <w:vAlign w:val="center"/>
                </w:tcPr>
                <w:p>
                  <w:pPr>
                    <w:pStyle w:val="56"/>
                  </w:pPr>
                </w:p>
              </w:tc>
              <w:tc>
                <w:tcPr>
                  <w:tcW w:w="309" w:type="pct"/>
                  <w:vMerge w:val="continue"/>
                  <w:tcBorders>
                    <w:bottom w:val="single" w:color="auto" w:sz="8" w:space="0"/>
                  </w:tcBorders>
                  <w:vAlign w:val="center"/>
                </w:tcPr>
                <w:p>
                  <w:pPr>
                    <w:pStyle w:val="56"/>
                  </w:pPr>
                </w:p>
              </w:tc>
              <w:tc>
                <w:tcPr>
                  <w:tcW w:w="309" w:type="pct"/>
                  <w:vMerge w:val="continue"/>
                  <w:tcBorders>
                    <w:bottom w:val="single" w:color="auto" w:sz="8" w:space="0"/>
                  </w:tcBorders>
                  <w:vAlign w:val="center"/>
                </w:tcPr>
                <w:p>
                  <w:pPr>
                    <w:pStyle w:val="56"/>
                  </w:pPr>
                </w:p>
              </w:tc>
              <w:tc>
                <w:tcPr>
                  <w:tcW w:w="1177" w:type="pct"/>
                  <w:vMerge w:val="continue"/>
                  <w:tcBorders>
                    <w:bottom w:val="single" w:color="auto" w:sz="8" w:space="0"/>
                    <w:right w:val="single" w:color="auto" w:sz="8" w:space="0"/>
                  </w:tcBorders>
                  <w:vAlign w:val="center"/>
                </w:tcPr>
                <w:p>
                  <w:pPr>
                    <w:pStyle w:val="56"/>
                    <w:rPr>
                      <w:highlight w:val="green"/>
                    </w:rPr>
                  </w:pPr>
                </w:p>
              </w:tc>
              <w:tc>
                <w:tcPr>
                  <w:tcW w:w="1203" w:type="pct"/>
                  <w:tcBorders>
                    <w:top w:val="single" w:color="auto" w:sz="4" w:space="0"/>
                    <w:bottom w:val="single" w:color="auto" w:sz="8" w:space="0"/>
                    <w:right w:val="single" w:color="auto" w:sz="4" w:space="0"/>
                  </w:tcBorders>
                  <w:vAlign w:val="center"/>
                </w:tcPr>
                <w:p>
                  <w:pPr>
                    <w:pStyle w:val="56"/>
                    <w:rPr>
                      <w:highlight w:val="green"/>
                    </w:rPr>
                  </w:pPr>
                  <w:r>
                    <w:rPr>
                      <w:rFonts w:hint="eastAsia"/>
                      <w:kern w:val="0"/>
                      <w:lang w:val="en-US" w:eastAsia="zh-CN" w:bidi="ar"/>
                    </w:rPr>
                    <w:t>《环境影响评价技术导则地下水环境》（HJ610-2016）重点防渗区要求：等效黏土防渗层</w:t>
                  </w:r>
                  <w:r>
                    <w:rPr>
                      <w:rFonts w:hint="eastAsia"/>
                      <w:i/>
                      <w:iCs/>
                      <w:kern w:val="0"/>
                      <w:lang w:val="en-US" w:eastAsia="zh-CN" w:bidi="ar"/>
                    </w:rPr>
                    <w:t>Mb</w:t>
                  </w:r>
                  <w:r>
                    <w:rPr>
                      <w:rFonts w:hint="eastAsia"/>
                      <w:kern w:val="0"/>
                      <w:lang w:val="en-US" w:eastAsia="zh-CN" w:bidi="ar"/>
                    </w:rPr>
                    <w:t>≥6.0m，</w:t>
                  </w:r>
                  <w:r>
                    <w:rPr>
                      <w:rFonts w:hint="eastAsia"/>
                      <w:i/>
                      <w:iCs/>
                      <w:kern w:val="0"/>
                      <w:lang w:val="en-US" w:eastAsia="zh-CN" w:bidi="ar"/>
                    </w:rPr>
                    <w:t>K</w:t>
                  </w:r>
                  <w:r>
                    <w:rPr>
                      <w:rFonts w:hint="eastAsia"/>
                      <w:kern w:val="0"/>
                      <w:lang w:val="en-US" w:eastAsia="zh-CN" w:bidi="ar"/>
                    </w:rPr>
                    <w:t>≤1.0×10</w:t>
                  </w:r>
                  <w:r>
                    <w:rPr>
                      <w:rFonts w:hint="eastAsia"/>
                      <w:kern w:val="0"/>
                      <w:vertAlign w:val="superscript"/>
                      <w:lang w:val="en-US" w:eastAsia="zh-CN" w:bidi="ar"/>
                    </w:rPr>
                    <w:t>-7</w:t>
                  </w:r>
                  <w:r>
                    <w:rPr>
                      <w:rFonts w:hint="eastAsia"/>
                      <w:kern w:val="0"/>
                      <w:lang w:val="en-US" w:eastAsia="zh-CN" w:bidi="ar"/>
                    </w:rPr>
                    <w:t>cm/s；</w:t>
                  </w:r>
                </w:p>
              </w:tc>
              <w:tc>
                <w:tcPr>
                  <w:tcW w:w="309" w:type="pct"/>
                  <w:vMerge w:val="continue"/>
                  <w:tcBorders>
                    <w:left w:val="single" w:color="auto" w:sz="4" w:space="0"/>
                    <w:bottom w:val="single" w:color="auto" w:sz="8" w:space="0"/>
                    <w:right w:val="single" w:color="auto" w:sz="8" w:space="0"/>
                  </w:tcBorders>
                  <w:vAlign w:val="center"/>
                </w:tcPr>
                <w:p>
                  <w:pPr>
                    <w:pStyle w:val="56"/>
                    <w:rPr>
                      <w:highlight w:val="green"/>
                      <w:lang w:val="en-US"/>
                    </w:rPr>
                  </w:pPr>
                </w:p>
              </w:tc>
            </w:tr>
          </w:tbl>
          <w:p>
            <w:pPr>
              <w:pStyle w:val="4"/>
              <w:rPr>
                <w:lang w:eastAsia="zh-CN"/>
              </w:rPr>
            </w:pPr>
            <w:bookmarkStart w:id="136" w:name="_Toc120889825"/>
            <w:bookmarkStart w:id="137" w:name="_Toc121147754"/>
            <w:bookmarkStart w:id="138" w:name="_Toc122338522"/>
            <w:r>
              <w:rPr>
                <w:rFonts w:hint="eastAsia"/>
                <w:lang w:eastAsia="zh-CN"/>
              </w:rPr>
              <w:t>生态环境影响</w:t>
            </w:r>
            <w:bookmarkEnd w:id="136"/>
            <w:bookmarkEnd w:id="137"/>
            <w:bookmarkEnd w:id="138"/>
          </w:p>
          <w:p>
            <w:pPr>
              <w:ind w:firstLine="480"/>
              <w:rPr>
                <w:lang w:val="zh-CN"/>
              </w:rPr>
            </w:pPr>
            <w:r>
              <w:rPr>
                <w:rFonts w:hint="eastAsia"/>
              </w:rPr>
              <w:t>本项目利用现成厂房，本项目用地范围内不含生态环境保护目标，不会对周边生态环境造成明显影响。</w:t>
            </w:r>
          </w:p>
          <w:p>
            <w:pPr>
              <w:pStyle w:val="4"/>
              <w:rPr>
                <w:lang w:eastAsia="zh-CN"/>
              </w:rPr>
            </w:pPr>
            <w:bookmarkStart w:id="139" w:name="_Toc120889826"/>
            <w:bookmarkStart w:id="140" w:name="_Toc121147755"/>
            <w:bookmarkStart w:id="141" w:name="_Toc122338523"/>
            <w:r>
              <w:rPr>
                <w:rFonts w:hint="eastAsia"/>
                <w:lang w:eastAsia="zh-CN"/>
              </w:rPr>
              <w:t>环境风险</w:t>
            </w:r>
            <w:bookmarkEnd w:id="139"/>
            <w:bookmarkEnd w:id="140"/>
            <w:bookmarkEnd w:id="141"/>
          </w:p>
          <w:p>
            <w:pPr>
              <w:pStyle w:val="5"/>
            </w:pPr>
            <w:r>
              <w:rPr>
                <w:rFonts w:hint="eastAsia"/>
              </w:rPr>
              <w:t>环境风险物质识别</w:t>
            </w:r>
          </w:p>
          <w:p>
            <w:pPr>
              <w:ind w:firstLine="480"/>
              <w:rPr>
                <w:lang w:val="zh-CN"/>
              </w:rPr>
            </w:pPr>
            <w:r>
              <w:rPr>
                <w:rFonts w:hint="eastAsia"/>
                <w:lang w:val="zh-CN"/>
              </w:rPr>
              <w:t>根据《建设项目环境风险评价技术导则》（HJ169-2018）附录B中表B.1和表B.2环境风险物质及《危险化学品重大危险源辨识》（GB18218-2018）中表1和表2中的环境风险物质。本项目涉及的有毒有害和易燃易爆物质及其危险特性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26</w:t>
            </w:r>
            <w:r>
              <w:fldChar w:fldCharType="end"/>
            </w:r>
            <w:r>
              <w:rPr>
                <w:rFonts w:hint="eastAsia"/>
              </w:rPr>
              <w:t>风险物质危险性情况一览表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432"/>
              <w:gridCol w:w="1196"/>
              <w:gridCol w:w="1782"/>
              <w:gridCol w:w="2416"/>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2" w:type="pct"/>
                  <w:vAlign w:val="center"/>
                </w:tcPr>
                <w:p>
                  <w:pPr>
                    <w:pStyle w:val="66"/>
                    <w:spacing w:before="24" w:after="24"/>
                  </w:pPr>
                  <w:r>
                    <w:rPr>
                      <w:rFonts w:hint="eastAsia"/>
                    </w:rPr>
                    <w:t>物质名称</w:t>
                  </w:r>
                </w:p>
              </w:tc>
              <w:tc>
                <w:tcPr>
                  <w:tcW w:w="352" w:type="pct"/>
                  <w:vAlign w:val="center"/>
                </w:tcPr>
                <w:p>
                  <w:pPr>
                    <w:pStyle w:val="66"/>
                    <w:spacing w:before="24" w:after="24"/>
                  </w:pPr>
                  <w:r>
                    <w:rPr>
                      <w:rFonts w:hint="eastAsia"/>
                    </w:rPr>
                    <w:t>形态</w:t>
                  </w:r>
                </w:p>
              </w:tc>
              <w:tc>
                <w:tcPr>
                  <w:tcW w:w="598" w:type="pct"/>
                  <w:vAlign w:val="center"/>
                </w:tcPr>
                <w:p>
                  <w:pPr>
                    <w:pStyle w:val="66"/>
                    <w:spacing w:before="24" w:after="24"/>
                  </w:pPr>
                  <w:r>
                    <w:rPr>
                      <w:rFonts w:hint="eastAsia"/>
                    </w:rPr>
                    <w:t>CAS号</w:t>
                  </w:r>
                </w:p>
              </w:tc>
              <w:tc>
                <w:tcPr>
                  <w:tcW w:w="1301" w:type="pct"/>
                  <w:vAlign w:val="center"/>
                </w:tcPr>
                <w:p>
                  <w:pPr>
                    <w:pStyle w:val="66"/>
                    <w:spacing w:before="24" w:after="24"/>
                  </w:pPr>
                  <w:r>
                    <w:rPr>
                      <w:rFonts w:hint="eastAsia"/>
                    </w:rPr>
                    <w:t>性质</w:t>
                  </w:r>
                </w:p>
              </w:tc>
              <w:tc>
                <w:tcPr>
                  <w:tcW w:w="1747" w:type="pct"/>
                  <w:vAlign w:val="center"/>
                </w:tcPr>
                <w:p>
                  <w:pPr>
                    <w:pStyle w:val="66"/>
                    <w:spacing w:before="24" w:after="24"/>
                  </w:pPr>
                  <w:r>
                    <w:rPr>
                      <w:rFonts w:hint="eastAsia"/>
                    </w:rPr>
                    <w:t>毒性</w:t>
                  </w:r>
                </w:p>
              </w:tc>
              <w:tc>
                <w:tcPr>
                  <w:tcW w:w="481" w:type="pct"/>
                  <w:vAlign w:val="center"/>
                </w:tcPr>
                <w:p>
                  <w:pPr>
                    <w:pStyle w:val="66"/>
                    <w:spacing w:before="24" w:after="24"/>
                  </w:pPr>
                  <w:r>
                    <w:rPr>
                      <w:rFonts w:hint="eastAsia"/>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2" w:type="pct"/>
                  <w:vAlign w:val="center"/>
                </w:tcPr>
                <w:p>
                  <w:pPr>
                    <w:widowControl/>
                    <w:ind w:firstLine="0" w:firstLineChars="0"/>
                    <w:jc w:val="center"/>
                    <w:textAlignment w:val="center"/>
                  </w:pPr>
                  <w:r>
                    <w:rPr>
                      <w:rFonts w:hint="eastAsia" w:ascii="宋体" w:hAnsi="宋体" w:cs="宋体"/>
                      <w:kern w:val="0"/>
                      <w:sz w:val="21"/>
                      <w:szCs w:val="21"/>
                      <w:lang w:bidi="ar"/>
                    </w:rPr>
                    <w:t>乙醇</w:t>
                  </w:r>
                </w:p>
              </w:tc>
              <w:tc>
                <w:tcPr>
                  <w:tcW w:w="352" w:type="pct"/>
                  <w:vAlign w:val="center"/>
                </w:tcPr>
                <w:p>
                  <w:pPr>
                    <w:widowControl/>
                    <w:ind w:firstLine="0" w:firstLineChars="0"/>
                    <w:jc w:val="center"/>
                    <w:textAlignment w:val="center"/>
                  </w:pPr>
                  <w:r>
                    <w:rPr>
                      <w:rFonts w:hint="eastAsia" w:ascii="宋体" w:hAnsi="宋体" w:cs="宋体"/>
                      <w:kern w:val="0"/>
                      <w:sz w:val="21"/>
                      <w:szCs w:val="21"/>
                      <w:lang w:bidi="ar"/>
                    </w:rPr>
                    <w:t>液体</w:t>
                  </w:r>
                </w:p>
              </w:tc>
              <w:tc>
                <w:tcPr>
                  <w:tcW w:w="598" w:type="pct"/>
                  <w:vAlign w:val="center"/>
                </w:tcPr>
                <w:p>
                  <w:pPr>
                    <w:widowControl/>
                    <w:ind w:firstLine="0" w:firstLineChars="0"/>
                    <w:jc w:val="center"/>
                    <w:textAlignment w:val="center"/>
                  </w:pPr>
                  <w:r>
                    <w:rPr>
                      <w:rFonts w:hint="eastAsia"/>
                      <w:kern w:val="0"/>
                      <w:sz w:val="21"/>
                      <w:szCs w:val="21"/>
                      <w:lang w:bidi="ar"/>
                    </w:rPr>
                    <w:t>64-17-5</w:t>
                  </w:r>
                </w:p>
              </w:tc>
              <w:tc>
                <w:tcPr>
                  <w:tcW w:w="1301" w:type="pct"/>
                  <w:vAlign w:val="center"/>
                </w:tcPr>
                <w:p>
                  <w:pPr>
                    <w:pStyle w:val="66"/>
                    <w:spacing w:before="24" w:after="24"/>
                  </w:pPr>
                  <w:r>
                    <w:rPr>
                      <w:rFonts w:hint="eastAsia"/>
                    </w:rPr>
                    <w:t>熔点（℃）：-114.1</w:t>
                  </w:r>
                </w:p>
                <w:p>
                  <w:pPr>
                    <w:pStyle w:val="66"/>
                    <w:spacing w:before="24" w:after="24"/>
                  </w:pPr>
                  <w:r>
                    <w:rPr>
                      <w:rFonts w:hint="eastAsia"/>
                    </w:rPr>
                    <w:t>沸点（℃）：78.3</w:t>
                  </w:r>
                </w:p>
                <w:p>
                  <w:pPr>
                    <w:pStyle w:val="66"/>
                    <w:spacing w:before="24" w:after="24"/>
                  </w:pPr>
                  <w:r>
                    <w:rPr>
                      <w:rFonts w:hint="eastAsia"/>
                    </w:rPr>
                    <w:t>闪点（℃）：12</w:t>
                  </w:r>
                </w:p>
              </w:tc>
              <w:tc>
                <w:tcPr>
                  <w:tcW w:w="1747" w:type="pct"/>
                  <w:vAlign w:val="center"/>
                </w:tcPr>
                <w:p>
                  <w:pPr>
                    <w:pStyle w:val="66"/>
                    <w:spacing w:before="24" w:after="24"/>
                  </w:pPr>
                  <w:r>
                    <w:rPr>
                      <w:rFonts w:hint="eastAsia"/>
                    </w:rPr>
                    <w:t>LD</w:t>
                  </w:r>
                  <w:r>
                    <w:rPr>
                      <w:rFonts w:hint="eastAsia"/>
                      <w:vertAlign w:val="subscript"/>
                    </w:rPr>
                    <w:t>50</w:t>
                  </w:r>
                  <w:r>
                    <w:rPr>
                      <w:rFonts w:hint="eastAsia"/>
                    </w:rPr>
                    <w:t>：7060mg/kg（兔经口）7340mg/kg（兔经皮）；</w:t>
                  </w:r>
                  <w:r>
                    <w:rPr>
                      <w:rFonts w:hint="eastAsia"/>
                    </w:rPr>
                    <w:br w:type="textWrapping"/>
                  </w:r>
                  <w:r>
                    <w:rPr>
                      <w:rFonts w:hint="eastAsia"/>
                    </w:rPr>
                    <w:t>LC</w:t>
                  </w:r>
                  <w:r>
                    <w:rPr>
                      <w:rFonts w:hint="eastAsia"/>
                      <w:vertAlign w:val="subscript"/>
                    </w:rPr>
                    <w:t>50</w:t>
                  </w:r>
                  <w:r>
                    <w:rPr>
                      <w:rFonts w:hint="eastAsia"/>
                    </w:rPr>
                    <w:t>：37620mg/m</w:t>
                  </w:r>
                  <w:r>
                    <w:rPr>
                      <w:rFonts w:hint="eastAsia"/>
                      <w:vertAlign w:val="superscript"/>
                    </w:rPr>
                    <w:t>3</w:t>
                  </w:r>
                  <w:r>
                    <w:rPr>
                      <w:rFonts w:hint="eastAsia"/>
                    </w:rPr>
                    <w:t>，10小时（大鼠吸入）</w:t>
                  </w:r>
                </w:p>
              </w:tc>
              <w:tc>
                <w:tcPr>
                  <w:tcW w:w="481" w:type="pct"/>
                  <w:vAlign w:val="center"/>
                </w:tcPr>
                <w:p>
                  <w:pPr>
                    <w:pStyle w:val="66"/>
                    <w:spacing w:before="24" w:after="24"/>
                  </w:pPr>
                  <w:r>
                    <w:rPr>
                      <w:rFonts w:hint="eastAsia"/>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2" w:type="pct"/>
                  <w:vAlign w:val="center"/>
                </w:tcPr>
                <w:p>
                  <w:pPr>
                    <w:widowControl/>
                    <w:ind w:firstLine="0" w:firstLineChars="0"/>
                    <w:jc w:val="center"/>
                    <w:textAlignment w:val="center"/>
                    <w:rPr>
                      <w:rFonts w:ascii="宋体" w:hAnsi="宋体" w:cs="宋体"/>
                      <w:kern w:val="0"/>
                      <w:sz w:val="21"/>
                      <w:szCs w:val="21"/>
                      <w:lang w:bidi="ar"/>
                    </w:rPr>
                  </w:pPr>
                  <w:r>
                    <w:rPr>
                      <w:rFonts w:hint="eastAsia" w:ascii="宋体" w:hAnsi="宋体" w:cs="宋体"/>
                      <w:kern w:val="0"/>
                      <w:sz w:val="21"/>
                      <w:szCs w:val="21"/>
                      <w:lang w:bidi="ar"/>
                    </w:rPr>
                    <w:t>二氧化氯</w:t>
                  </w:r>
                </w:p>
              </w:tc>
              <w:tc>
                <w:tcPr>
                  <w:tcW w:w="352" w:type="pct"/>
                  <w:vAlign w:val="center"/>
                </w:tcPr>
                <w:p>
                  <w:pPr>
                    <w:widowControl/>
                    <w:ind w:firstLine="0" w:firstLineChars="0"/>
                    <w:jc w:val="center"/>
                    <w:textAlignment w:val="center"/>
                    <w:rPr>
                      <w:rFonts w:ascii="宋体" w:hAnsi="宋体" w:cs="宋体"/>
                      <w:kern w:val="0"/>
                      <w:sz w:val="21"/>
                      <w:szCs w:val="21"/>
                      <w:lang w:bidi="ar"/>
                    </w:rPr>
                  </w:pPr>
                  <w:r>
                    <w:rPr>
                      <w:rFonts w:hint="eastAsia" w:ascii="宋体" w:hAnsi="宋体" w:cs="宋体"/>
                      <w:kern w:val="0"/>
                      <w:sz w:val="21"/>
                      <w:szCs w:val="21"/>
                      <w:lang w:bidi="ar"/>
                    </w:rPr>
                    <w:t>固体</w:t>
                  </w:r>
                </w:p>
              </w:tc>
              <w:tc>
                <w:tcPr>
                  <w:tcW w:w="598" w:type="pct"/>
                  <w:vAlign w:val="center"/>
                </w:tcPr>
                <w:p>
                  <w:pPr>
                    <w:widowControl/>
                    <w:ind w:firstLine="0" w:firstLineChars="0"/>
                    <w:jc w:val="center"/>
                    <w:textAlignment w:val="center"/>
                    <w:rPr>
                      <w:kern w:val="0"/>
                      <w:sz w:val="21"/>
                      <w:szCs w:val="21"/>
                      <w:lang w:bidi="ar"/>
                    </w:rPr>
                  </w:pPr>
                  <w:r>
                    <w:rPr>
                      <w:kern w:val="0"/>
                      <w:sz w:val="21"/>
                      <w:szCs w:val="21"/>
                      <w:lang w:bidi="ar"/>
                    </w:rPr>
                    <w:t>10049-04-4</w:t>
                  </w:r>
                </w:p>
              </w:tc>
              <w:tc>
                <w:tcPr>
                  <w:tcW w:w="1301" w:type="pct"/>
                  <w:vAlign w:val="center"/>
                </w:tcPr>
                <w:p>
                  <w:pPr>
                    <w:pStyle w:val="66"/>
                    <w:spacing w:before="24" w:after="24"/>
                    <w:jc w:val="left"/>
                  </w:pPr>
                  <w:r>
                    <w:rPr>
                      <w:rFonts w:hint="eastAsia"/>
                    </w:rPr>
                    <w:t>熔点（℃）：-59</w:t>
                  </w:r>
                </w:p>
                <w:p>
                  <w:pPr>
                    <w:pStyle w:val="66"/>
                    <w:spacing w:before="24" w:after="24"/>
                    <w:jc w:val="left"/>
                  </w:pPr>
                  <w:r>
                    <w:rPr>
                      <w:rFonts w:hint="eastAsia"/>
                    </w:rPr>
                    <w:t>沸点（℃）：1</w:t>
                  </w:r>
                  <w:r>
                    <w:t>1</w:t>
                  </w:r>
                </w:p>
                <w:p>
                  <w:pPr>
                    <w:pStyle w:val="66"/>
                    <w:spacing w:before="24" w:after="24"/>
                    <w:jc w:val="left"/>
                  </w:pPr>
                  <w:r>
                    <w:rPr>
                      <w:rFonts w:hint="eastAsia"/>
                    </w:rPr>
                    <w:t>密度（25℃）：</w:t>
                  </w:r>
                  <w:r>
                    <w:t>3.09g/cm³</w:t>
                  </w:r>
                </w:p>
              </w:tc>
              <w:tc>
                <w:tcPr>
                  <w:tcW w:w="1747" w:type="pct"/>
                  <w:vAlign w:val="center"/>
                </w:tcPr>
                <w:p>
                  <w:pPr>
                    <w:pStyle w:val="66"/>
                    <w:spacing w:before="24" w:after="24"/>
                  </w:pPr>
                  <w:r>
                    <w:rPr>
                      <w:rFonts w:hint="eastAsia"/>
                    </w:rPr>
                    <w:t>急性毒性：94mg/kg（大鼠口服）；LCLo：260 ppm（大鼠，2小时）</w:t>
                  </w:r>
                </w:p>
              </w:tc>
              <w:tc>
                <w:tcPr>
                  <w:tcW w:w="481" w:type="pct"/>
                  <w:vAlign w:val="center"/>
                </w:tcPr>
                <w:p>
                  <w:pPr>
                    <w:pStyle w:val="66"/>
                    <w:spacing w:before="24" w:after="24"/>
                  </w:pPr>
                  <w:r>
                    <w:rPr>
                      <w:rFonts w:hint="eastAsia"/>
                      <w:lang w:eastAsia="zh-CN"/>
                    </w:rPr>
                    <w:t>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2" w:type="pct"/>
                  <w:vAlign w:val="center"/>
                </w:tcPr>
                <w:p>
                  <w:pPr>
                    <w:pStyle w:val="56"/>
                    <w:rPr>
                      <w:lang w:bidi="ar"/>
                    </w:rPr>
                  </w:pPr>
                  <w:r>
                    <w:rPr>
                      <w:rFonts w:hint="eastAsia"/>
                      <w:lang w:bidi="ar"/>
                    </w:rPr>
                    <w:t>盐酸</w:t>
                  </w:r>
                </w:p>
              </w:tc>
              <w:tc>
                <w:tcPr>
                  <w:tcW w:w="352" w:type="pct"/>
                  <w:vAlign w:val="center"/>
                </w:tcPr>
                <w:p>
                  <w:pPr>
                    <w:pStyle w:val="56"/>
                    <w:rPr>
                      <w:lang w:bidi="ar"/>
                    </w:rPr>
                  </w:pPr>
                  <w:r>
                    <w:rPr>
                      <w:rFonts w:hint="eastAsia"/>
                      <w:lang w:bidi="ar"/>
                    </w:rPr>
                    <w:t>液体</w:t>
                  </w:r>
                </w:p>
              </w:tc>
              <w:tc>
                <w:tcPr>
                  <w:tcW w:w="598" w:type="pct"/>
                  <w:vAlign w:val="center"/>
                </w:tcPr>
                <w:p>
                  <w:pPr>
                    <w:pStyle w:val="56"/>
                    <w:rPr>
                      <w:lang w:bidi="ar"/>
                    </w:rPr>
                  </w:pPr>
                  <w:r>
                    <w:rPr>
                      <w:rFonts w:hint="eastAsia"/>
                      <w:lang w:bidi="ar"/>
                    </w:rPr>
                    <w:t>7</w:t>
                  </w:r>
                  <w:r>
                    <w:rPr>
                      <w:lang w:bidi="ar"/>
                    </w:rPr>
                    <w:t>647-01-0</w:t>
                  </w:r>
                </w:p>
              </w:tc>
              <w:tc>
                <w:tcPr>
                  <w:tcW w:w="1301" w:type="pct"/>
                  <w:vAlign w:val="center"/>
                </w:tcPr>
                <w:p>
                  <w:pPr>
                    <w:pStyle w:val="66"/>
                    <w:spacing w:before="24" w:after="24"/>
                    <w:jc w:val="left"/>
                  </w:pPr>
                  <w:r>
                    <w:rPr>
                      <w:rFonts w:hint="eastAsia"/>
                    </w:rPr>
                    <w:t>熔点（℃）：</w:t>
                  </w:r>
                  <w:r>
                    <w:t>-27.32</w:t>
                  </w:r>
                </w:p>
                <w:p>
                  <w:pPr>
                    <w:pStyle w:val="66"/>
                    <w:spacing w:before="24" w:after="24"/>
                    <w:jc w:val="left"/>
                  </w:pPr>
                  <w:r>
                    <w:rPr>
                      <w:rFonts w:hint="eastAsia"/>
                    </w:rPr>
                    <w:t>沸点（℃）：</w:t>
                  </w:r>
                  <w:r>
                    <w:t>48</w:t>
                  </w:r>
                </w:p>
                <w:p>
                  <w:pPr>
                    <w:pStyle w:val="56"/>
                  </w:pPr>
                  <w:r>
                    <w:rPr>
                      <w:rFonts w:hint="eastAsia"/>
                    </w:rPr>
                    <w:t>密度（25℃）：</w:t>
                  </w:r>
                  <w:r>
                    <w:t>1.189g/cm³</w:t>
                  </w:r>
                </w:p>
              </w:tc>
              <w:tc>
                <w:tcPr>
                  <w:tcW w:w="1747" w:type="pct"/>
                  <w:vAlign w:val="center"/>
                </w:tcPr>
                <w:p>
                  <w:pPr>
                    <w:pStyle w:val="56"/>
                  </w:pPr>
                  <w:r>
                    <w:rPr>
                      <w:rFonts w:hint="eastAsia"/>
                    </w:rPr>
                    <w:t>LD50900mg/kg(兔经口);</w:t>
                  </w:r>
                </w:p>
                <w:p>
                  <w:pPr>
                    <w:pStyle w:val="56"/>
                  </w:pPr>
                  <w:r>
                    <w:rPr>
                      <w:rFonts w:hint="eastAsia"/>
                    </w:rPr>
                    <w:t>LC503124ppm，1小时(大鼠吸入)</w:t>
                  </w:r>
                </w:p>
              </w:tc>
              <w:tc>
                <w:tcPr>
                  <w:tcW w:w="481" w:type="pct"/>
                  <w:vAlign w:val="center"/>
                </w:tcPr>
                <w:p>
                  <w:pPr>
                    <w:pStyle w:val="56"/>
                    <w:rPr>
                      <w:lang w:eastAsia="zh-CN"/>
                    </w:rPr>
                  </w:pPr>
                  <w:r>
                    <w:rPr>
                      <w:rFonts w:hint="eastAsia"/>
                      <w:lang w:eastAsia="zh-CN"/>
                    </w:rPr>
                    <w:t>强腐蚀性</w:t>
                  </w:r>
                </w:p>
              </w:tc>
            </w:tr>
          </w:tbl>
          <w:p>
            <w:pPr>
              <w:pStyle w:val="56"/>
            </w:pPr>
          </w:p>
          <w:p>
            <w:pPr>
              <w:ind w:firstLine="480"/>
              <w:rPr>
                <w:lang w:val="zh-CN"/>
              </w:rPr>
            </w:pPr>
            <w:r>
              <w:rPr>
                <w:rFonts w:hint="eastAsia"/>
                <w:lang w:val="zh-CN"/>
              </w:rPr>
              <w:t>项目风险物质潜势初判如下。</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27</w:t>
            </w:r>
            <w:r>
              <w:fldChar w:fldCharType="end"/>
            </w:r>
            <w:r>
              <w:rPr>
                <w:rFonts w:hint="eastAsia"/>
              </w:rPr>
              <w:t>项目风险物质</w:t>
            </w:r>
            <w:r>
              <w:rPr>
                <w:rFonts w:hint="eastAsia"/>
                <w:lang w:eastAsia="zh-CN"/>
              </w:rPr>
              <w:t>Q</w:t>
            </w:r>
            <w:r>
              <w:rPr>
                <w:rFonts w:hint="eastAsia"/>
              </w:rPr>
              <w:t>值</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588"/>
              <w:gridCol w:w="1846"/>
              <w:gridCol w:w="1426"/>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pct"/>
                  <w:vAlign w:val="center"/>
                </w:tcPr>
                <w:p>
                  <w:pPr>
                    <w:pStyle w:val="66"/>
                    <w:spacing w:before="24" w:after="24"/>
                  </w:pPr>
                  <w:r>
                    <w:rPr>
                      <w:rFonts w:hint="eastAsia"/>
                    </w:rPr>
                    <w:t>序号</w:t>
                  </w:r>
                </w:p>
              </w:tc>
              <w:tc>
                <w:tcPr>
                  <w:tcW w:w="1117" w:type="pct"/>
                  <w:vAlign w:val="center"/>
                </w:tcPr>
                <w:p>
                  <w:pPr>
                    <w:pStyle w:val="66"/>
                    <w:spacing w:before="24" w:after="24"/>
                  </w:pPr>
                  <w:r>
                    <w:rPr>
                      <w:rFonts w:hint="eastAsia"/>
                    </w:rPr>
                    <w:t>物质</w:t>
                  </w:r>
                </w:p>
              </w:tc>
              <w:tc>
                <w:tcPr>
                  <w:tcW w:w="1298" w:type="pct"/>
                  <w:vAlign w:val="center"/>
                </w:tcPr>
                <w:p>
                  <w:pPr>
                    <w:pStyle w:val="66"/>
                    <w:spacing w:before="24" w:after="24"/>
                  </w:pPr>
                  <w:r>
                    <w:rPr>
                      <w:rFonts w:hint="eastAsia"/>
                    </w:rPr>
                    <w:t>最大存在量/t</w:t>
                  </w:r>
                </w:p>
              </w:tc>
              <w:tc>
                <w:tcPr>
                  <w:tcW w:w="1003" w:type="pct"/>
                  <w:vAlign w:val="center"/>
                </w:tcPr>
                <w:p>
                  <w:pPr>
                    <w:pStyle w:val="66"/>
                    <w:spacing w:before="24" w:after="24"/>
                  </w:pPr>
                  <w:r>
                    <w:rPr>
                      <w:rFonts w:hint="eastAsia"/>
                    </w:rPr>
                    <w:t>临界量/t</w:t>
                  </w:r>
                </w:p>
              </w:tc>
              <w:tc>
                <w:tcPr>
                  <w:tcW w:w="1000" w:type="pct"/>
                  <w:vAlign w:val="center"/>
                </w:tcPr>
                <w:p>
                  <w:pPr>
                    <w:pStyle w:val="66"/>
                    <w:spacing w:before="24" w:after="24"/>
                  </w:pPr>
                  <w:r>
                    <w:rPr>
                      <w:rFonts w:hint="eastAsia"/>
                    </w:rPr>
                    <w:t>比值/Q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pct"/>
                  <w:vAlign w:val="center"/>
                </w:tcPr>
                <w:p>
                  <w:pPr>
                    <w:pStyle w:val="56"/>
                    <w:rPr>
                      <w:lang w:eastAsia="zh-CN"/>
                    </w:rPr>
                  </w:pPr>
                  <w:r>
                    <w:rPr>
                      <w:lang w:eastAsia="zh-CN"/>
                    </w:rPr>
                    <w:t>1</w:t>
                  </w:r>
                </w:p>
              </w:tc>
              <w:tc>
                <w:tcPr>
                  <w:tcW w:w="1117" w:type="pct"/>
                  <w:vAlign w:val="center"/>
                </w:tcPr>
                <w:p>
                  <w:pPr>
                    <w:pStyle w:val="66"/>
                    <w:spacing w:before="24" w:after="24"/>
                  </w:pPr>
                  <w:r>
                    <w:rPr>
                      <w:rFonts w:hint="eastAsia"/>
                    </w:rPr>
                    <w:t>乙醇</w:t>
                  </w:r>
                </w:p>
              </w:tc>
              <w:tc>
                <w:tcPr>
                  <w:tcW w:w="1298" w:type="pct"/>
                  <w:vAlign w:val="center"/>
                </w:tcPr>
                <w:p>
                  <w:pPr>
                    <w:pStyle w:val="66"/>
                    <w:spacing w:before="24" w:after="24"/>
                  </w:pPr>
                  <w:r>
                    <w:t>0.07821</w:t>
                  </w:r>
                </w:p>
              </w:tc>
              <w:tc>
                <w:tcPr>
                  <w:tcW w:w="1003" w:type="pct"/>
                  <w:vAlign w:val="center"/>
                </w:tcPr>
                <w:p>
                  <w:pPr>
                    <w:pStyle w:val="66"/>
                    <w:spacing w:before="24" w:after="24"/>
                  </w:pPr>
                  <w:r>
                    <w:rPr>
                      <w:rFonts w:hint="eastAsia"/>
                    </w:rPr>
                    <w:t>500</w:t>
                  </w:r>
                </w:p>
              </w:tc>
              <w:tc>
                <w:tcPr>
                  <w:tcW w:w="1000" w:type="pct"/>
                  <w:vAlign w:val="center"/>
                </w:tcPr>
                <w:p>
                  <w:pPr>
                    <w:pStyle w:val="66"/>
                    <w:spacing w:before="24" w:after="24"/>
                  </w:pPr>
                  <w:r>
                    <w:rPr>
                      <w:rFonts w:hint="eastAsia"/>
                    </w:rPr>
                    <w:t>0.00</w:t>
                  </w:r>
                  <w: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pct"/>
                  <w:vAlign w:val="center"/>
                </w:tcPr>
                <w:p>
                  <w:pPr>
                    <w:pStyle w:val="56"/>
                    <w:rPr>
                      <w:lang w:eastAsia="zh-CN"/>
                    </w:rPr>
                  </w:pPr>
                  <w:r>
                    <w:rPr>
                      <w:rFonts w:hint="eastAsia"/>
                      <w:lang w:eastAsia="zh-CN"/>
                    </w:rPr>
                    <w:t>2</w:t>
                  </w:r>
                </w:p>
              </w:tc>
              <w:tc>
                <w:tcPr>
                  <w:tcW w:w="1117" w:type="pct"/>
                  <w:vAlign w:val="center"/>
                </w:tcPr>
                <w:p>
                  <w:pPr>
                    <w:pStyle w:val="66"/>
                    <w:spacing w:before="24" w:after="24"/>
                  </w:pPr>
                  <w:r>
                    <w:rPr>
                      <w:rFonts w:hint="eastAsia"/>
                      <w:lang w:eastAsia="zh-CN"/>
                    </w:rPr>
                    <w:t>二氧化氯</w:t>
                  </w:r>
                </w:p>
              </w:tc>
              <w:tc>
                <w:tcPr>
                  <w:tcW w:w="1298" w:type="pct"/>
                  <w:vAlign w:val="center"/>
                </w:tcPr>
                <w:p>
                  <w:pPr>
                    <w:pStyle w:val="66"/>
                    <w:spacing w:before="24" w:after="24"/>
                    <w:rPr>
                      <w:lang w:eastAsia="zh-CN"/>
                    </w:rPr>
                  </w:pPr>
                  <w:r>
                    <w:rPr>
                      <w:rFonts w:hint="eastAsia"/>
                      <w:lang w:eastAsia="zh-CN"/>
                    </w:rPr>
                    <w:t>0</w:t>
                  </w:r>
                  <w:r>
                    <w:rPr>
                      <w:lang w:eastAsia="zh-CN"/>
                    </w:rPr>
                    <w:t>.25</w:t>
                  </w:r>
                </w:p>
              </w:tc>
              <w:tc>
                <w:tcPr>
                  <w:tcW w:w="1003" w:type="pct"/>
                  <w:vAlign w:val="center"/>
                </w:tcPr>
                <w:p>
                  <w:pPr>
                    <w:pStyle w:val="66"/>
                    <w:spacing w:before="24" w:after="24"/>
                    <w:rPr>
                      <w:lang w:eastAsia="zh-CN"/>
                    </w:rPr>
                  </w:pPr>
                  <w:r>
                    <w:rPr>
                      <w:rFonts w:hint="eastAsia"/>
                      <w:lang w:eastAsia="zh-CN"/>
                    </w:rPr>
                    <w:t>0</w:t>
                  </w:r>
                  <w:r>
                    <w:rPr>
                      <w:lang w:eastAsia="zh-CN"/>
                    </w:rPr>
                    <w:t>.5</w:t>
                  </w:r>
                </w:p>
              </w:tc>
              <w:tc>
                <w:tcPr>
                  <w:tcW w:w="1000" w:type="pct"/>
                  <w:vAlign w:val="center"/>
                </w:tcPr>
                <w:p>
                  <w:pPr>
                    <w:pStyle w:val="66"/>
                    <w:spacing w:before="24" w:after="24"/>
                    <w:rPr>
                      <w:lang w:eastAsia="zh-CN"/>
                    </w:rPr>
                  </w:pPr>
                  <w:r>
                    <w:rPr>
                      <w:rFonts w:hint="eastAsia"/>
                      <w:lang w:eastAsia="zh-CN"/>
                    </w:rPr>
                    <w:t>0</w:t>
                  </w:r>
                  <w:r>
                    <w:rPr>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pct"/>
                  <w:vAlign w:val="center"/>
                </w:tcPr>
                <w:p>
                  <w:pPr>
                    <w:pStyle w:val="56"/>
                    <w:rPr>
                      <w:lang w:eastAsia="zh-CN"/>
                    </w:rPr>
                  </w:pPr>
                  <w:r>
                    <w:rPr>
                      <w:rFonts w:hint="eastAsia"/>
                      <w:lang w:eastAsia="zh-CN"/>
                    </w:rPr>
                    <w:t>3</w:t>
                  </w:r>
                </w:p>
              </w:tc>
              <w:tc>
                <w:tcPr>
                  <w:tcW w:w="1117" w:type="pct"/>
                  <w:vAlign w:val="center"/>
                </w:tcPr>
                <w:p>
                  <w:pPr>
                    <w:pStyle w:val="66"/>
                    <w:spacing w:before="24" w:after="24"/>
                    <w:rPr>
                      <w:lang w:eastAsia="zh-CN"/>
                    </w:rPr>
                  </w:pPr>
                  <w:r>
                    <w:rPr>
                      <w:rFonts w:hint="eastAsia"/>
                      <w:lang w:eastAsia="zh-CN"/>
                    </w:rPr>
                    <w:t>盐酸</w:t>
                  </w:r>
                </w:p>
              </w:tc>
              <w:tc>
                <w:tcPr>
                  <w:tcW w:w="1298" w:type="pct"/>
                  <w:vAlign w:val="center"/>
                </w:tcPr>
                <w:p>
                  <w:pPr>
                    <w:pStyle w:val="66"/>
                    <w:spacing w:before="24" w:after="24"/>
                    <w:rPr>
                      <w:lang w:eastAsia="zh-CN"/>
                    </w:rPr>
                  </w:pPr>
                  <w:r>
                    <w:rPr>
                      <w:rFonts w:hint="eastAsia"/>
                      <w:lang w:eastAsia="zh-CN"/>
                    </w:rPr>
                    <w:t>0</w:t>
                  </w:r>
                  <w:r>
                    <w:rPr>
                      <w:lang w:eastAsia="zh-CN"/>
                    </w:rPr>
                    <w:t>.00711</w:t>
                  </w:r>
                </w:p>
              </w:tc>
              <w:tc>
                <w:tcPr>
                  <w:tcW w:w="1003" w:type="pct"/>
                  <w:vAlign w:val="center"/>
                </w:tcPr>
                <w:p>
                  <w:pPr>
                    <w:pStyle w:val="66"/>
                    <w:spacing w:before="24" w:after="24"/>
                    <w:rPr>
                      <w:lang w:eastAsia="zh-CN"/>
                    </w:rPr>
                  </w:pPr>
                  <w:r>
                    <w:rPr>
                      <w:rFonts w:hint="eastAsia"/>
                      <w:lang w:eastAsia="zh-CN"/>
                    </w:rPr>
                    <w:t>2</w:t>
                  </w:r>
                  <w:r>
                    <w:rPr>
                      <w:lang w:eastAsia="zh-CN"/>
                    </w:rPr>
                    <w:t>.5</w:t>
                  </w:r>
                </w:p>
              </w:tc>
              <w:tc>
                <w:tcPr>
                  <w:tcW w:w="1000" w:type="pct"/>
                  <w:vAlign w:val="center"/>
                </w:tcPr>
                <w:p>
                  <w:pPr>
                    <w:pStyle w:val="66"/>
                    <w:spacing w:before="24" w:after="24"/>
                    <w:rPr>
                      <w:lang w:eastAsia="zh-CN"/>
                    </w:rPr>
                  </w:pPr>
                  <w:r>
                    <w:rPr>
                      <w:rFonts w:hint="eastAsia"/>
                      <w:lang w:eastAsia="zh-CN"/>
                    </w:rPr>
                    <w:t>0</w:t>
                  </w:r>
                  <w:r>
                    <w:rPr>
                      <w:lang w:eastAsia="zh-C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00" w:type="pct"/>
                  <w:gridSpan w:val="4"/>
                  <w:vAlign w:val="center"/>
                </w:tcPr>
                <w:p>
                  <w:pPr>
                    <w:pStyle w:val="66"/>
                    <w:spacing w:before="24" w:after="24"/>
                  </w:pPr>
                  <w:r>
                    <w:t>∑Q=q</w:t>
                  </w:r>
                  <w:r>
                    <w:rPr>
                      <w:vertAlign w:val="subscript"/>
                    </w:rPr>
                    <w:t>1</w:t>
                  </w:r>
                  <w:r>
                    <w:t>/Q</w:t>
                  </w:r>
                  <w:r>
                    <w:rPr>
                      <w:vertAlign w:val="subscript"/>
                    </w:rPr>
                    <w:t>1</w:t>
                  </w:r>
                  <w:r>
                    <w:t>+q</w:t>
                  </w:r>
                  <w:r>
                    <w:rPr>
                      <w:vertAlign w:val="subscript"/>
                    </w:rPr>
                    <w:t>2</w:t>
                  </w:r>
                  <w:r>
                    <w:t>/Q</w:t>
                  </w:r>
                  <w:r>
                    <w:rPr>
                      <w:vertAlign w:val="subscript"/>
                    </w:rPr>
                    <w:t>2</w:t>
                  </w:r>
                  <w:r>
                    <w:t>+……+qn/Qn</w:t>
                  </w:r>
                </w:p>
              </w:tc>
              <w:tc>
                <w:tcPr>
                  <w:tcW w:w="1000" w:type="pct"/>
                  <w:vAlign w:val="center"/>
                </w:tcPr>
                <w:p>
                  <w:pPr>
                    <w:widowControl/>
                    <w:ind w:firstLine="0" w:firstLineChars="0"/>
                    <w:jc w:val="center"/>
                    <w:textAlignment w:val="center"/>
                    <w:rPr>
                      <w:sz w:val="21"/>
                      <w:szCs w:val="21"/>
                    </w:rPr>
                  </w:pPr>
                  <w:r>
                    <w:rPr>
                      <w:rFonts w:hint="eastAsia"/>
                      <w:kern w:val="0"/>
                      <w:sz w:val="21"/>
                      <w:szCs w:val="21"/>
                    </w:rPr>
                    <w:t>0.</w:t>
                  </w:r>
                  <w:r>
                    <w:rPr>
                      <w:kern w:val="0"/>
                      <w:sz w:val="21"/>
                      <w:szCs w:val="21"/>
                    </w:rPr>
                    <w:t>5029</w:t>
                  </w:r>
                </w:p>
              </w:tc>
            </w:tr>
          </w:tbl>
          <w:p>
            <w:pPr>
              <w:pStyle w:val="56"/>
            </w:pPr>
          </w:p>
          <w:p>
            <w:pPr>
              <w:ind w:firstLine="480"/>
              <w:rPr>
                <w:lang w:val="zh-CN"/>
              </w:rPr>
            </w:pPr>
            <w:r>
              <w:rPr>
                <w:rFonts w:hint="eastAsia"/>
              </w:rPr>
              <w:t>由上表可知，本项目Q=</w:t>
            </w:r>
            <w:r>
              <w:rPr>
                <w:rFonts w:hint="eastAsia"/>
                <w:lang w:bidi="ar"/>
              </w:rPr>
              <w:t>0.</w:t>
            </w:r>
            <w:r>
              <w:rPr>
                <w:lang w:bidi="ar"/>
              </w:rPr>
              <w:t>5029</w:t>
            </w:r>
            <w:r>
              <w:rPr>
                <w:rFonts w:hint="eastAsia"/>
              </w:rPr>
              <w:t>＜1，根据《建设项目环境风险评价技术导则》（HJ169-2018），当Q＜1时，环境风险潜势为I，评价工作等级为简单分析。“简单分析是相对于详细评价工作内容而言，在描述危险物质、环境影响途径、环境危害后果、风险防范措施等方面给出定性说明。”</w:t>
            </w:r>
          </w:p>
          <w:p>
            <w:pPr>
              <w:pStyle w:val="5"/>
            </w:pPr>
            <w:r>
              <w:rPr>
                <w:rFonts w:hint="eastAsia"/>
              </w:rPr>
              <w:t>环境敏感目标</w:t>
            </w:r>
          </w:p>
          <w:p>
            <w:pPr>
              <w:ind w:firstLine="480"/>
              <w:rPr>
                <w:lang w:val="zh-CN"/>
              </w:rPr>
            </w:pPr>
            <w:r>
              <w:rPr>
                <w:rFonts w:hint="eastAsia"/>
                <w:lang w:val="zh-CN"/>
              </w:rPr>
              <w:t>本项目周边敏感目标情况见前文表3</w:t>
            </w:r>
            <w:r>
              <w:rPr>
                <w:lang w:val="zh-CN"/>
              </w:rPr>
              <w:t>.6-1.</w:t>
            </w:r>
          </w:p>
          <w:p>
            <w:pPr>
              <w:pStyle w:val="5"/>
              <w:rPr>
                <w:lang w:eastAsia="zh-CN"/>
              </w:rPr>
            </w:pPr>
            <w:r>
              <w:rPr>
                <w:rFonts w:hint="eastAsia"/>
                <w:lang w:eastAsia="zh-CN"/>
              </w:rPr>
              <w:t>危险物质和风险源分布情况及可能影响途径</w:t>
            </w:r>
          </w:p>
          <w:p>
            <w:pPr>
              <w:ind w:firstLine="480"/>
              <w:rPr>
                <w:lang w:val="zh-CN"/>
              </w:rPr>
            </w:pPr>
            <w:r>
              <w:rPr>
                <w:rFonts w:hint="eastAsia"/>
                <w:lang w:val="zh-CN"/>
              </w:rPr>
              <w:t>（1）风险物质识别</w:t>
            </w:r>
          </w:p>
          <w:p>
            <w:pPr>
              <w:ind w:firstLine="480"/>
              <w:rPr>
                <w:lang w:val="zh-CN"/>
              </w:rPr>
            </w:pPr>
            <w:r>
              <w:rPr>
                <w:rFonts w:hint="eastAsia"/>
                <w:lang w:val="zh-CN"/>
              </w:rPr>
              <w:t>根据本项目实验试剂使用情况，主要危险物质为化学实验试剂以及危险废物（如废试剂盒、废样本及检测废液、废弃一次性实验用品、废试剂盒、废过滤器、废试剂瓶、污泥、生化及免疫实验加样针清洗废液、废紫外线灯管）等。化学实验试剂贮存于试剂室中，危险废物存放在危险废物暂存间。</w:t>
            </w:r>
          </w:p>
          <w:p>
            <w:pPr>
              <w:ind w:firstLine="480"/>
              <w:rPr>
                <w:lang w:val="zh-CN"/>
              </w:rPr>
            </w:pPr>
            <w:r>
              <w:rPr>
                <w:rFonts w:hint="eastAsia"/>
                <w:lang w:val="zh-CN"/>
              </w:rPr>
              <w:t>（2）生产系统危险性识别</w:t>
            </w:r>
          </w:p>
          <w:p>
            <w:pPr>
              <w:ind w:firstLine="480"/>
              <w:rPr>
                <w:lang w:val="zh-CN"/>
              </w:rPr>
            </w:pPr>
            <w:r>
              <w:rPr>
                <w:rFonts w:hint="eastAsia"/>
                <w:lang w:val="zh-CN"/>
              </w:rPr>
              <w:t>本项目属于Q8492临床检验服务，不属于生产性项目，不存在生产装置，储运设施等风险源，主要生产系统危险性为检测设备可能存在的环境风险。</w:t>
            </w:r>
          </w:p>
          <w:p>
            <w:pPr>
              <w:ind w:firstLine="480"/>
              <w:rPr>
                <w:lang w:val="zh-CN"/>
              </w:rPr>
            </w:pPr>
            <w:r>
              <w:rPr>
                <w:rFonts w:hint="eastAsia"/>
                <w:lang w:val="zh-CN"/>
              </w:rPr>
              <w:t>（3）环境风险识别结果</w:t>
            </w:r>
          </w:p>
          <w:p>
            <w:pPr>
              <w:ind w:firstLine="480"/>
              <w:rPr>
                <w:lang w:val="zh-CN"/>
              </w:rPr>
            </w:pPr>
            <w:r>
              <w:rPr>
                <w:rFonts w:hint="eastAsia"/>
                <w:lang w:val="zh-CN"/>
              </w:rPr>
              <w:t>根据前文物质危险性和生产系统危险性识别，本项目环境风险类型主要为化学实验试剂的物质泄漏；危险废物在收集、贮存、运送过程中存在的风险；明火引起的火灾以及引发的伴生/次生的环境风险。</w:t>
            </w:r>
          </w:p>
          <w:p>
            <w:pPr>
              <w:ind w:firstLine="480"/>
              <w:rPr>
                <w:lang w:val="zh-CN"/>
              </w:rPr>
            </w:pPr>
            <w:r>
              <w:rPr>
                <w:rFonts w:hint="eastAsia"/>
                <w:lang w:val="zh-CN"/>
              </w:rPr>
              <w:t>根据本项目生产过程中的潜在危险，总结出本项目潜在的环境风险因素及其可能影响的途径见下表。</w:t>
            </w:r>
          </w:p>
          <w:p>
            <w:pPr>
              <w:pStyle w:val="55"/>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28</w:t>
            </w:r>
            <w:r>
              <w:fldChar w:fldCharType="end"/>
            </w:r>
            <w:r>
              <w:rPr>
                <w:rFonts w:hint="eastAsia"/>
              </w:rPr>
              <w:t>项目潜在风险物质及影响途径</w:t>
            </w:r>
          </w:p>
          <w:tbl>
            <w:tblPr>
              <w:tblStyle w:val="3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09"/>
              <w:gridCol w:w="869"/>
              <w:gridCol w:w="1150"/>
              <w:gridCol w:w="545"/>
              <w:gridCol w:w="1408"/>
              <w:gridCol w:w="739"/>
              <w:gridCol w:w="1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8" w:type="pct"/>
                  <w:vAlign w:val="center"/>
                </w:tcPr>
                <w:p>
                  <w:pPr>
                    <w:pStyle w:val="66"/>
                    <w:spacing w:before="24" w:after="24"/>
                  </w:pPr>
                  <w:r>
                    <w:t>事故类型</w:t>
                  </w:r>
                </w:p>
              </w:tc>
              <w:tc>
                <w:tcPr>
                  <w:tcW w:w="611" w:type="pct"/>
                  <w:vAlign w:val="center"/>
                </w:tcPr>
                <w:p>
                  <w:pPr>
                    <w:pStyle w:val="66"/>
                    <w:spacing w:before="24" w:after="24"/>
                  </w:pPr>
                  <w:r>
                    <w:t>环境风险描述</w:t>
                  </w:r>
                </w:p>
              </w:tc>
              <w:tc>
                <w:tcPr>
                  <w:tcW w:w="809" w:type="pct"/>
                  <w:vAlign w:val="center"/>
                </w:tcPr>
                <w:p>
                  <w:pPr>
                    <w:pStyle w:val="66"/>
                    <w:spacing w:before="24" w:after="24"/>
                  </w:pPr>
                  <w:r>
                    <w:t>涉及化学品（污染物）</w:t>
                  </w:r>
                </w:p>
              </w:tc>
              <w:tc>
                <w:tcPr>
                  <w:tcW w:w="383" w:type="pct"/>
                  <w:vAlign w:val="center"/>
                </w:tcPr>
                <w:p>
                  <w:pPr>
                    <w:pStyle w:val="66"/>
                    <w:spacing w:before="24" w:after="24"/>
                  </w:pPr>
                  <w:r>
                    <w:t>风险类别</w:t>
                  </w:r>
                </w:p>
              </w:tc>
              <w:tc>
                <w:tcPr>
                  <w:tcW w:w="990" w:type="pct"/>
                  <w:vAlign w:val="center"/>
                </w:tcPr>
                <w:p>
                  <w:pPr>
                    <w:pStyle w:val="66"/>
                    <w:spacing w:before="24" w:after="24"/>
                  </w:pPr>
                  <w:r>
                    <w:t>途径及后果</w:t>
                  </w:r>
                </w:p>
              </w:tc>
              <w:tc>
                <w:tcPr>
                  <w:tcW w:w="520" w:type="pct"/>
                  <w:vAlign w:val="center"/>
                </w:tcPr>
                <w:p>
                  <w:pPr>
                    <w:pStyle w:val="66"/>
                    <w:spacing w:before="24" w:after="24"/>
                  </w:pPr>
                  <w:r>
                    <w:t>危险单元</w:t>
                  </w:r>
                </w:p>
              </w:tc>
              <w:tc>
                <w:tcPr>
                  <w:tcW w:w="1329" w:type="pct"/>
                  <w:vAlign w:val="center"/>
                </w:tcPr>
                <w:p>
                  <w:pPr>
                    <w:pStyle w:val="66"/>
                    <w:spacing w:before="24" w:after="24"/>
                  </w:pPr>
                  <w:r>
                    <w:t>风险防范措施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8" w:type="pct"/>
                  <w:vMerge w:val="restart"/>
                  <w:vAlign w:val="center"/>
                </w:tcPr>
                <w:p>
                  <w:pPr>
                    <w:pStyle w:val="66"/>
                    <w:spacing w:before="24" w:after="24"/>
                  </w:pPr>
                  <w:r>
                    <w:t>化学品泄漏</w:t>
                  </w:r>
                </w:p>
              </w:tc>
              <w:tc>
                <w:tcPr>
                  <w:tcW w:w="611" w:type="pct"/>
                  <w:vAlign w:val="center"/>
                </w:tcPr>
                <w:p>
                  <w:pPr>
                    <w:pStyle w:val="66"/>
                    <w:spacing w:before="24" w:after="24"/>
                  </w:pPr>
                  <w:r>
                    <w:t>泄漏有毒有害化学品进入大气</w:t>
                  </w:r>
                </w:p>
              </w:tc>
              <w:tc>
                <w:tcPr>
                  <w:tcW w:w="809" w:type="pct"/>
                  <w:vAlign w:val="center"/>
                </w:tcPr>
                <w:p>
                  <w:pPr>
                    <w:pStyle w:val="66"/>
                    <w:spacing w:before="24" w:after="24"/>
                  </w:pPr>
                  <w:r>
                    <w:t>如</w:t>
                  </w:r>
                  <w:r>
                    <w:rPr>
                      <w:rFonts w:hint="eastAsia"/>
                    </w:rPr>
                    <w:t>乙醇</w:t>
                  </w:r>
                  <w:r>
                    <w:rPr>
                      <w:rFonts w:hint="eastAsia"/>
                      <w:lang w:eastAsia="zh-CN"/>
                    </w:rPr>
                    <w:t>、氢氧化钠</w:t>
                  </w:r>
                </w:p>
              </w:tc>
              <w:tc>
                <w:tcPr>
                  <w:tcW w:w="383" w:type="pct"/>
                  <w:vAlign w:val="center"/>
                </w:tcPr>
                <w:p>
                  <w:pPr>
                    <w:pStyle w:val="66"/>
                    <w:spacing w:before="24" w:after="24"/>
                  </w:pPr>
                  <w:r>
                    <w:t>大气环境</w:t>
                  </w:r>
                  <w:r>
                    <w:rPr>
                      <w:rFonts w:hint="eastAsia"/>
                      <w:lang w:eastAsia="zh-CN"/>
                    </w:rPr>
                    <w:t>风险</w:t>
                  </w:r>
                </w:p>
              </w:tc>
              <w:tc>
                <w:tcPr>
                  <w:tcW w:w="990" w:type="pct"/>
                  <w:vAlign w:val="center"/>
                </w:tcPr>
                <w:p>
                  <w:pPr>
                    <w:pStyle w:val="66"/>
                    <w:spacing w:before="24" w:after="24"/>
                  </w:pPr>
                  <w:r>
                    <w:t>通过挥发，对生产厂区大气环境和厂区附近环境造成瞬时影响</w:t>
                  </w:r>
                </w:p>
              </w:tc>
              <w:tc>
                <w:tcPr>
                  <w:tcW w:w="520" w:type="pct"/>
                  <w:vMerge w:val="restart"/>
                  <w:vAlign w:val="center"/>
                </w:tcPr>
                <w:p>
                  <w:pPr>
                    <w:pStyle w:val="66"/>
                    <w:spacing w:before="24" w:after="24"/>
                  </w:pPr>
                  <w:r>
                    <w:rPr>
                      <w:rFonts w:hint="eastAsia"/>
                    </w:rPr>
                    <w:t>试剂室</w:t>
                  </w:r>
                  <w:r>
                    <w:rPr>
                      <w:rFonts w:hint="eastAsia"/>
                      <w:lang w:eastAsia="zh-CN"/>
                    </w:rPr>
                    <w:t>、危化库</w:t>
                  </w:r>
                </w:p>
              </w:tc>
              <w:tc>
                <w:tcPr>
                  <w:tcW w:w="1329" w:type="pct"/>
                  <w:vMerge w:val="restart"/>
                  <w:vAlign w:val="center"/>
                </w:tcPr>
                <w:p>
                  <w:pPr>
                    <w:pStyle w:val="66"/>
                    <w:spacing w:before="24" w:after="24"/>
                  </w:pPr>
                  <w:r>
                    <w:t>应按有关规范设置足够的消防措施，定期对储放设施以及消防进行检查、维护，生产过程中必须按照相关的操作规范和方法进行，加强仪器设备和试剂管理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8" w:type="pct"/>
                  <w:vMerge w:val="continue"/>
                  <w:vAlign w:val="center"/>
                </w:tcPr>
                <w:p>
                  <w:pPr>
                    <w:pStyle w:val="66"/>
                    <w:spacing w:before="24" w:after="24"/>
                  </w:pPr>
                </w:p>
              </w:tc>
              <w:tc>
                <w:tcPr>
                  <w:tcW w:w="611" w:type="pct"/>
                  <w:vAlign w:val="center"/>
                </w:tcPr>
                <w:p>
                  <w:pPr>
                    <w:pStyle w:val="66"/>
                    <w:spacing w:before="24" w:after="24"/>
                  </w:pPr>
                  <w:r>
                    <w:t>泄漏化学品进入附近水体内，危害水生环境</w:t>
                  </w:r>
                </w:p>
              </w:tc>
              <w:tc>
                <w:tcPr>
                  <w:tcW w:w="809" w:type="pct"/>
                  <w:vAlign w:val="center"/>
                </w:tcPr>
                <w:p>
                  <w:pPr>
                    <w:pStyle w:val="66"/>
                    <w:spacing w:before="24" w:after="24"/>
                  </w:pPr>
                  <w:r>
                    <w:t>如</w:t>
                  </w:r>
                  <w:r>
                    <w:rPr>
                      <w:rFonts w:hint="eastAsia"/>
                    </w:rPr>
                    <w:t>乙醇</w:t>
                  </w:r>
                  <w:r>
                    <w:rPr>
                      <w:rFonts w:hint="eastAsia"/>
                      <w:lang w:eastAsia="zh-CN"/>
                    </w:rPr>
                    <w:t>、二氧化氯</w:t>
                  </w:r>
                </w:p>
              </w:tc>
              <w:tc>
                <w:tcPr>
                  <w:tcW w:w="383" w:type="pct"/>
                  <w:vMerge w:val="restart"/>
                  <w:vAlign w:val="center"/>
                </w:tcPr>
                <w:p>
                  <w:pPr>
                    <w:pStyle w:val="66"/>
                    <w:spacing w:before="24" w:after="24"/>
                    <w:rPr>
                      <w:lang w:eastAsia="zh-CN"/>
                    </w:rPr>
                  </w:pPr>
                  <w:r>
                    <w:t>水环境</w:t>
                  </w:r>
                  <w:r>
                    <w:rPr>
                      <w:rFonts w:hint="eastAsia"/>
                      <w:lang w:eastAsia="zh-CN"/>
                    </w:rPr>
                    <w:t>，</w:t>
                  </w:r>
                  <w:r>
                    <w:t>地下水环境</w:t>
                  </w:r>
                  <w:r>
                    <w:rPr>
                      <w:rFonts w:hint="eastAsia"/>
                      <w:lang w:eastAsia="zh-CN"/>
                    </w:rPr>
                    <w:t>风险</w:t>
                  </w:r>
                </w:p>
              </w:tc>
              <w:tc>
                <w:tcPr>
                  <w:tcW w:w="990" w:type="pct"/>
                  <w:vMerge w:val="restart"/>
                  <w:vAlign w:val="center"/>
                </w:tcPr>
                <w:p>
                  <w:pPr>
                    <w:pStyle w:val="66"/>
                    <w:spacing w:before="24" w:after="24"/>
                  </w:pPr>
                  <w:r>
                    <w:t>通过</w:t>
                  </w:r>
                  <w:r>
                    <w:rPr>
                      <w:rFonts w:hint="eastAsia"/>
                    </w:rPr>
                    <w:t>污</w:t>
                  </w:r>
                  <w:r>
                    <w:t>水管排放到附近水体，影响内河涌水质，影响水生环境</w:t>
                  </w:r>
                </w:p>
              </w:tc>
              <w:tc>
                <w:tcPr>
                  <w:tcW w:w="520" w:type="pct"/>
                  <w:vMerge w:val="continue"/>
                  <w:vAlign w:val="center"/>
                </w:tcPr>
                <w:p>
                  <w:pPr>
                    <w:pStyle w:val="66"/>
                    <w:spacing w:before="24" w:after="24"/>
                  </w:pPr>
                </w:p>
              </w:tc>
              <w:tc>
                <w:tcPr>
                  <w:tcW w:w="1329"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8" w:type="pct"/>
                  <w:vAlign w:val="center"/>
                </w:tcPr>
                <w:p>
                  <w:pPr>
                    <w:pStyle w:val="66"/>
                    <w:spacing w:before="24" w:after="24"/>
                  </w:pPr>
                  <w:r>
                    <w:t>危险废物泄漏</w:t>
                  </w:r>
                </w:p>
              </w:tc>
              <w:tc>
                <w:tcPr>
                  <w:tcW w:w="611" w:type="pct"/>
                  <w:vAlign w:val="center"/>
                </w:tcPr>
                <w:p>
                  <w:pPr>
                    <w:pStyle w:val="66"/>
                    <w:spacing w:before="24" w:after="24"/>
                  </w:pPr>
                  <w:r>
                    <w:t>泄漏危险废物污染地表水及地下水</w:t>
                  </w:r>
                </w:p>
              </w:tc>
              <w:tc>
                <w:tcPr>
                  <w:tcW w:w="809" w:type="pct"/>
                  <w:vAlign w:val="center"/>
                </w:tcPr>
                <w:p>
                  <w:pPr>
                    <w:pStyle w:val="66"/>
                    <w:spacing w:before="24" w:after="24"/>
                  </w:pPr>
                  <w:r>
                    <w:rPr>
                      <w:rFonts w:hint="eastAsia"/>
                    </w:rPr>
                    <w:t>废样本及检测废液</w:t>
                  </w:r>
                </w:p>
              </w:tc>
              <w:tc>
                <w:tcPr>
                  <w:tcW w:w="383" w:type="pct"/>
                  <w:vMerge w:val="continue"/>
                  <w:vAlign w:val="center"/>
                </w:tcPr>
                <w:p>
                  <w:pPr>
                    <w:pStyle w:val="66"/>
                    <w:spacing w:before="24" w:after="24"/>
                  </w:pPr>
                </w:p>
              </w:tc>
              <w:tc>
                <w:tcPr>
                  <w:tcW w:w="990" w:type="pct"/>
                  <w:vMerge w:val="continue"/>
                  <w:vAlign w:val="center"/>
                </w:tcPr>
                <w:p>
                  <w:pPr>
                    <w:pStyle w:val="66"/>
                    <w:spacing w:before="24" w:after="24"/>
                  </w:pPr>
                </w:p>
              </w:tc>
              <w:tc>
                <w:tcPr>
                  <w:tcW w:w="520" w:type="pct"/>
                  <w:vAlign w:val="center"/>
                </w:tcPr>
                <w:p>
                  <w:pPr>
                    <w:pStyle w:val="66"/>
                    <w:spacing w:before="24" w:after="24"/>
                  </w:pPr>
                  <w:r>
                    <w:t>危废暂存间</w:t>
                  </w:r>
                </w:p>
              </w:tc>
              <w:tc>
                <w:tcPr>
                  <w:tcW w:w="1329" w:type="pct"/>
                  <w:vAlign w:val="center"/>
                </w:tcPr>
                <w:p>
                  <w:pPr>
                    <w:pStyle w:val="66"/>
                    <w:spacing w:before="24" w:after="24"/>
                  </w:pPr>
                  <w:r>
                    <w:t>危险废物暂存间设置漫坡，做好防渗措施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8" w:type="pct"/>
                  <w:vMerge w:val="restart"/>
                  <w:vAlign w:val="center"/>
                </w:tcPr>
                <w:p>
                  <w:pPr>
                    <w:pStyle w:val="66"/>
                    <w:spacing w:before="24" w:after="24"/>
                  </w:pPr>
                  <w:r>
                    <w:t>火灾、爆炸伴生污染</w:t>
                  </w:r>
                </w:p>
              </w:tc>
              <w:tc>
                <w:tcPr>
                  <w:tcW w:w="611" w:type="pct"/>
                  <w:vAlign w:val="center"/>
                </w:tcPr>
                <w:p>
                  <w:pPr>
                    <w:pStyle w:val="66"/>
                    <w:spacing w:before="24" w:after="24"/>
                  </w:pPr>
                  <w:r>
                    <w:t>燃烧烟尘及污染物污染周围大气环境</w:t>
                  </w:r>
                </w:p>
              </w:tc>
              <w:tc>
                <w:tcPr>
                  <w:tcW w:w="809" w:type="pct"/>
                  <w:vAlign w:val="center"/>
                </w:tcPr>
                <w:p>
                  <w:pPr>
                    <w:pStyle w:val="66"/>
                    <w:spacing w:before="24" w:after="24"/>
                  </w:pPr>
                  <w:r>
                    <w:t>CO</w:t>
                  </w:r>
                </w:p>
              </w:tc>
              <w:tc>
                <w:tcPr>
                  <w:tcW w:w="383" w:type="pct"/>
                  <w:vAlign w:val="center"/>
                </w:tcPr>
                <w:p>
                  <w:pPr>
                    <w:pStyle w:val="66"/>
                    <w:spacing w:before="24" w:after="24"/>
                  </w:pPr>
                  <w:r>
                    <w:t>大气环境</w:t>
                  </w:r>
                  <w:r>
                    <w:rPr>
                      <w:rFonts w:hint="eastAsia"/>
                      <w:lang w:eastAsia="zh-CN"/>
                    </w:rPr>
                    <w:t>风险</w:t>
                  </w:r>
                </w:p>
              </w:tc>
              <w:tc>
                <w:tcPr>
                  <w:tcW w:w="990" w:type="pct"/>
                  <w:vAlign w:val="center"/>
                </w:tcPr>
                <w:p>
                  <w:pPr>
                    <w:pStyle w:val="66"/>
                    <w:spacing w:before="24" w:after="24"/>
                  </w:pPr>
                  <w:r>
                    <w:t>通过燃烧烟气扩散，对周围大气环境造成短时污染</w:t>
                  </w:r>
                </w:p>
              </w:tc>
              <w:tc>
                <w:tcPr>
                  <w:tcW w:w="520" w:type="pct"/>
                  <w:vMerge w:val="restart"/>
                  <w:vAlign w:val="center"/>
                </w:tcPr>
                <w:p>
                  <w:pPr>
                    <w:pStyle w:val="66"/>
                    <w:spacing w:before="24" w:after="24"/>
                  </w:pPr>
                  <w:r>
                    <w:rPr>
                      <w:rFonts w:hint="eastAsia"/>
                    </w:rPr>
                    <w:t>实验区域</w:t>
                  </w:r>
                </w:p>
              </w:tc>
              <w:tc>
                <w:tcPr>
                  <w:tcW w:w="1329" w:type="pct"/>
                  <w:vMerge w:val="restart"/>
                  <w:vAlign w:val="center"/>
                </w:tcPr>
                <w:p>
                  <w:pPr>
                    <w:pStyle w:val="66"/>
                    <w:spacing w:before="24" w:after="24"/>
                  </w:pPr>
                  <w:r>
                    <w:rPr>
                      <w:rFonts w:hint="eastAsia"/>
                    </w:rPr>
                    <w:t>落实防止火灾措施，在污水管的实验区出口处设置一个闸门，发生事故时及时关闭闸门，防止泄漏液体和消防废水流出大楼，将其可能产生的环境影响控制在大楼之内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8" w:type="pct"/>
                  <w:vMerge w:val="continue"/>
                  <w:vAlign w:val="center"/>
                </w:tcPr>
                <w:p>
                  <w:pPr>
                    <w:pStyle w:val="66"/>
                    <w:spacing w:before="24" w:after="24"/>
                  </w:pPr>
                </w:p>
              </w:tc>
              <w:tc>
                <w:tcPr>
                  <w:tcW w:w="611" w:type="pct"/>
                  <w:vAlign w:val="center"/>
                </w:tcPr>
                <w:p>
                  <w:pPr>
                    <w:pStyle w:val="66"/>
                    <w:spacing w:before="24" w:after="24"/>
                  </w:pPr>
                  <w:r>
                    <w:t>消防废水进入附近水体</w:t>
                  </w:r>
                </w:p>
              </w:tc>
              <w:tc>
                <w:tcPr>
                  <w:tcW w:w="809" w:type="pct"/>
                  <w:vAlign w:val="center"/>
                </w:tcPr>
                <w:p>
                  <w:pPr>
                    <w:pStyle w:val="66"/>
                    <w:spacing w:before="24" w:after="24"/>
                  </w:pPr>
                  <w:r>
                    <w:t>COD</w:t>
                  </w:r>
                  <w:r>
                    <w:rPr>
                      <w:rFonts w:hint="eastAsia"/>
                      <w:vertAlign w:val="subscript"/>
                    </w:rPr>
                    <w:t>Cr</w:t>
                  </w:r>
                  <w:r>
                    <w:t>、pH、SS等</w:t>
                  </w:r>
                </w:p>
              </w:tc>
              <w:tc>
                <w:tcPr>
                  <w:tcW w:w="383" w:type="pct"/>
                  <w:vAlign w:val="center"/>
                </w:tcPr>
                <w:p>
                  <w:pPr>
                    <w:pStyle w:val="66"/>
                    <w:spacing w:before="24" w:after="24"/>
                    <w:rPr>
                      <w:lang w:eastAsia="zh-CN"/>
                    </w:rPr>
                  </w:pPr>
                  <w:r>
                    <w:t>水环境</w:t>
                  </w:r>
                  <w:r>
                    <w:rPr>
                      <w:rFonts w:hint="eastAsia"/>
                      <w:lang w:eastAsia="zh-CN"/>
                    </w:rPr>
                    <w:t>风险</w:t>
                  </w:r>
                </w:p>
              </w:tc>
              <w:tc>
                <w:tcPr>
                  <w:tcW w:w="990" w:type="pct"/>
                  <w:vAlign w:val="center"/>
                </w:tcPr>
                <w:p>
                  <w:pPr>
                    <w:pStyle w:val="66"/>
                    <w:spacing w:before="24" w:after="24"/>
                  </w:pPr>
                  <w:r>
                    <w:t>对附近内河涌水质造成影响</w:t>
                  </w:r>
                </w:p>
              </w:tc>
              <w:tc>
                <w:tcPr>
                  <w:tcW w:w="520" w:type="pct"/>
                  <w:vMerge w:val="continue"/>
                  <w:vAlign w:val="center"/>
                </w:tcPr>
                <w:p>
                  <w:pPr>
                    <w:pStyle w:val="66"/>
                    <w:spacing w:before="24" w:after="24"/>
                  </w:pPr>
                </w:p>
              </w:tc>
              <w:tc>
                <w:tcPr>
                  <w:tcW w:w="1329" w:type="pct"/>
                  <w:vMerge w:val="continue"/>
                  <w:vAlign w:val="center"/>
                </w:tcPr>
                <w:p>
                  <w:pPr>
                    <w:pStyle w:val="66"/>
                    <w:spacing w:before="24" w:after="2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8" w:type="pct"/>
                  <w:vMerge w:val="restart"/>
                  <w:vAlign w:val="center"/>
                </w:tcPr>
                <w:p>
                  <w:pPr>
                    <w:pStyle w:val="66"/>
                    <w:spacing w:before="24" w:after="24"/>
                  </w:pPr>
                  <w:r>
                    <w:rPr>
                      <w:rFonts w:hint="eastAsia"/>
                      <w:lang w:eastAsia="zh-CN"/>
                    </w:rPr>
                    <w:t>环保措施事故</w:t>
                  </w:r>
                </w:p>
              </w:tc>
              <w:tc>
                <w:tcPr>
                  <w:tcW w:w="611" w:type="pct"/>
                  <w:vAlign w:val="center"/>
                </w:tcPr>
                <w:p>
                  <w:pPr>
                    <w:pStyle w:val="66"/>
                    <w:spacing w:before="24" w:after="24"/>
                    <w:rPr>
                      <w:lang w:eastAsia="zh-CN"/>
                    </w:rPr>
                  </w:pPr>
                  <w:r>
                    <w:rPr>
                      <w:rFonts w:hint="eastAsia"/>
                      <w:lang w:eastAsia="zh-CN"/>
                    </w:rPr>
                    <w:t>废水处理措施停止运行</w:t>
                  </w:r>
                </w:p>
              </w:tc>
              <w:tc>
                <w:tcPr>
                  <w:tcW w:w="809" w:type="pct"/>
                  <w:vAlign w:val="center"/>
                </w:tcPr>
                <w:p>
                  <w:pPr>
                    <w:pStyle w:val="66"/>
                    <w:spacing w:before="24" w:after="24"/>
                    <w:rPr>
                      <w:lang w:eastAsia="zh-CN"/>
                    </w:rPr>
                  </w:pPr>
                  <w:r>
                    <w:rPr>
                      <w:rFonts w:hint="eastAsia"/>
                      <w:lang w:eastAsia="zh-CN"/>
                    </w:rPr>
                    <w:t>实验室废水</w:t>
                  </w:r>
                </w:p>
              </w:tc>
              <w:tc>
                <w:tcPr>
                  <w:tcW w:w="383" w:type="pct"/>
                  <w:vAlign w:val="center"/>
                </w:tcPr>
                <w:p>
                  <w:pPr>
                    <w:pStyle w:val="66"/>
                    <w:spacing w:before="24" w:after="24"/>
                    <w:rPr>
                      <w:lang w:eastAsia="zh-CN"/>
                    </w:rPr>
                  </w:pPr>
                  <w:r>
                    <w:rPr>
                      <w:rFonts w:hint="eastAsia"/>
                      <w:lang w:eastAsia="zh-CN"/>
                    </w:rPr>
                    <w:t>水环境风险</w:t>
                  </w:r>
                </w:p>
              </w:tc>
              <w:tc>
                <w:tcPr>
                  <w:tcW w:w="990" w:type="pct"/>
                  <w:vAlign w:val="center"/>
                </w:tcPr>
                <w:p>
                  <w:pPr>
                    <w:pStyle w:val="66"/>
                    <w:spacing w:before="24" w:after="24"/>
                    <w:rPr>
                      <w:lang w:eastAsia="zh-CN"/>
                    </w:rPr>
                  </w:pPr>
                  <w:r>
                    <w:rPr>
                      <w:rFonts w:hint="eastAsia"/>
                      <w:lang w:eastAsia="zh-CN"/>
                    </w:rPr>
                    <w:t>废水处理设施不运行，导致废水排放超标，对依托污水处理厂造成影响</w:t>
                  </w:r>
                </w:p>
              </w:tc>
              <w:tc>
                <w:tcPr>
                  <w:tcW w:w="520" w:type="pct"/>
                  <w:vAlign w:val="center"/>
                </w:tcPr>
                <w:p>
                  <w:pPr>
                    <w:pStyle w:val="66"/>
                    <w:spacing w:before="24" w:after="24"/>
                  </w:pPr>
                  <w:r>
                    <w:rPr>
                      <w:rFonts w:hint="eastAsia"/>
                      <w:lang w:eastAsia="zh-CN"/>
                    </w:rPr>
                    <w:t>污水处理站</w:t>
                  </w:r>
                </w:p>
              </w:tc>
              <w:tc>
                <w:tcPr>
                  <w:tcW w:w="1329" w:type="pct"/>
                  <w:vAlign w:val="center"/>
                </w:tcPr>
                <w:p>
                  <w:pPr>
                    <w:pStyle w:val="66"/>
                    <w:spacing w:before="24" w:after="24"/>
                    <w:rPr>
                      <w:lang w:eastAsia="zh-CN"/>
                    </w:rPr>
                  </w:pPr>
                  <w:r>
                    <w:rPr>
                      <w:rFonts w:hint="eastAsia"/>
                      <w:lang w:eastAsia="zh-CN"/>
                    </w:rPr>
                    <w:t>定期对污水处理设施进行检查，确保废水达标排放。在发现废水处理措施不正常运行时应及时停止废水的排放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8" w:type="pct"/>
                  <w:vMerge w:val="continue"/>
                  <w:vAlign w:val="center"/>
                </w:tcPr>
                <w:p>
                  <w:pPr>
                    <w:pStyle w:val="66"/>
                    <w:spacing w:before="24" w:after="24"/>
                  </w:pPr>
                </w:p>
              </w:tc>
              <w:tc>
                <w:tcPr>
                  <w:tcW w:w="611" w:type="pct"/>
                  <w:vAlign w:val="center"/>
                </w:tcPr>
                <w:p>
                  <w:pPr>
                    <w:pStyle w:val="66"/>
                    <w:spacing w:before="24" w:after="24"/>
                  </w:pPr>
                  <w:r>
                    <w:rPr>
                      <w:rFonts w:hint="eastAsia"/>
                      <w:lang w:eastAsia="zh-CN"/>
                    </w:rPr>
                    <w:t>废气处理措施停止运行</w:t>
                  </w:r>
                </w:p>
              </w:tc>
              <w:tc>
                <w:tcPr>
                  <w:tcW w:w="809" w:type="pct"/>
                  <w:vAlign w:val="center"/>
                </w:tcPr>
                <w:p>
                  <w:pPr>
                    <w:pStyle w:val="66"/>
                    <w:spacing w:before="24" w:after="24"/>
                  </w:pPr>
                  <w:r>
                    <w:rPr>
                      <w:rFonts w:hint="eastAsia"/>
                      <w:lang w:eastAsia="zh-CN"/>
                    </w:rPr>
                    <w:t>非甲烷总烃，实验气溶胶</w:t>
                  </w:r>
                </w:p>
              </w:tc>
              <w:tc>
                <w:tcPr>
                  <w:tcW w:w="383" w:type="pct"/>
                  <w:vAlign w:val="center"/>
                </w:tcPr>
                <w:p>
                  <w:pPr>
                    <w:pStyle w:val="66"/>
                    <w:spacing w:before="24" w:after="24"/>
                  </w:pPr>
                  <w:r>
                    <w:rPr>
                      <w:rFonts w:hint="eastAsia"/>
                      <w:lang w:eastAsia="zh-CN"/>
                    </w:rPr>
                    <w:t>大气环境风险</w:t>
                  </w:r>
                </w:p>
              </w:tc>
              <w:tc>
                <w:tcPr>
                  <w:tcW w:w="990" w:type="pct"/>
                  <w:vAlign w:val="center"/>
                </w:tcPr>
                <w:p>
                  <w:pPr>
                    <w:pStyle w:val="66"/>
                    <w:spacing w:before="24" w:after="24"/>
                    <w:rPr>
                      <w:lang w:eastAsia="zh-CN"/>
                    </w:rPr>
                  </w:pPr>
                  <w:r>
                    <w:rPr>
                      <w:rFonts w:hint="eastAsia"/>
                      <w:lang w:eastAsia="zh-CN"/>
                    </w:rPr>
                    <w:t>废气处理设施损坏导致废气直排，对周边环境造成危害</w:t>
                  </w:r>
                </w:p>
              </w:tc>
              <w:tc>
                <w:tcPr>
                  <w:tcW w:w="520" w:type="pct"/>
                  <w:vAlign w:val="center"/>
                </w:tcPr>
                <w:p>
                  <w:pPr>
                    <w:pStyle w:val="66"/>
                    <w:spacing w:before="24" w:after="24"/>
                  </w:pPr>
                  <w:r>
                    <w:rPr>
                      <w:rFonts w:hint="eastAsia"/>
                      <w:lang w:eastAsia="zh-CN"/>
                    </w:rPr>
                    <w:t>废气处理设施</w:t>
                  </w:r>
                </w:p>
              </w:tc>
              <w:tc>
                <w:tcPr>
                  <w:tcW w:w="1329" w:type="pct"/>
                  <w:vAlign w:val="center"/>
                </w:tcPr>
                <w:p>
                  <w:pPr>
                    <w:pStyle w:val="66"/>
                    <w:spacing w:before="24" w:after="24"/>
                    <w:rPr>
                      <w:lang w:eastAsia="zh-CN"/>
                    </w:rPr>
                  </w:pPr>
                  <w:r>
                    <w:rPr>
                      <w:rFonts w:hint="eastAsia"/>
                      <w:lang w:eastAsia="zh-CN"/>
                    </w:rPr>
                    <w:t>定期检查更换废气处理设施设备，做好维护工作</w:t>
                  </w:r>
                </w:p>
              </w:tc>
            </w:tr>
          </w:tbl>
          <w:p>
            <w:pPr>
              <w:pStyle w:val="56"/>
            </w:pPr>
          </w:p>
          <w:p>
            <w:pPr>
              <w:pStyle w:val="5"/>
              <w:rPr>
                <w:lang w:eastAsia="zh-CN"/>
              </w:rPr>
            </w:pPr>
            <w:r>
              <w:rPr>
                <w:rFonts w:hint="eastAsia"/>
                <w:lang w:eastAsia="zh-CN"/>
              </w:rPr>
              <w:t>风险防范措施</w:t>
            </w:r>
          </w:p>
          <w:p>
            <w:pPr>
              <w:ind w:firstLine="480"/>
              <w:rPr>
                <w:lang w:val="zh-CN"/>
              </w:rPr>
            </w:pPr>
            <w:r>
              <w:rPr>
                <w:rFonts w:hint="eastAsia"/>
                <w:lang w:val="zh-CN"/>
              </w:rPr>
              <w:t>（1）化学品泄漏火灾事故防范措施</w:t>
            </w:r>
          </w:p>
          <w:p>
            <w:pPr>
              <w:ind w:firstLine="480"/>
              <w:rPr>
                <w:lang w:val="zh-CN"/>
              </w:rPr>
            </w:pPr>
            <w:r>
              <w:rPr>
                <w:rFonts w:hint="eastAsia"/>
                <w:lang w:val="zh-CN"/>
              </w:rPr>
              <w:t>①乙醇存储于实验室内专门的存放柜内，一旦发生泄漏事故时，避免泄漏物质下渗，同时应立即切断一切火源；</w:t>
            </w:r>
          </w:p>
          <w:p>
            <w:pPr>
              <w:ind w:firstLine="480"/>
              <w:rPr>
                <w:lang w:val="zh-CN"/>
              </w:rPr>
            </w:pPr>
            <w:r>
              <w:rPr>
                <w:rFonts w:hint="eastAsia"/>
                <w:lang w:val="zh-CN"/>
              </w:rPr>
              <w:t>②乙醇如发生泄漏后，立即切断污水管网总排水口的电动阀，切断污染物与外部的通道，杜绝泄漏液体及消防废水污染附近水环境的可能性；</w:t>
            </w:r>
          </w:p>
          <w:p>
            <w:pPr>
              <w:ind w:firstLine="480"/>
              <w:rPr>
                <w:lang w:val="zh-CN"/>
              </w:rPr>
            </w:pPr>
            <w:r>
              <w:rPr>
                <w:rFonts w:hint="eastAsia"/>
                <w:lang w:val="zh-CN"/>
              </w:rPr>
              <w:t>③制定严格的实验操作规程，加强作业员工的安全教育，杜绝工作失误造成的事故；</w:t>
            </w:r>
          </w:p>
          <w:p>
            <w:pPr>
              <w:ind w:firstLine="480"/>
              <w:rPr>
                <w:lang w:val="zh-CN"/>
              </w:rPr>
            </w:pPr>
            <w:r>
              <w:rPr>
                <w:rFonts w:hint="eastAsia"/>
                <w:lang w:val="zh-CN"/>
              </w:rPr>
              <w:t>④配制的试剂应贴标识，注明试剂名称、浓度、配制时间、有效期及配制人。贮存的危险化学品必须有明显的标志，标志应符合《危险货物包装标志》（GB190-2009）的规定数量、危险程度与周围生活区、办公区等重要设施保持安全距离；</w:t>
            </w:r>
          </w:p>
          <w:p>
            <w:pPr>
              <w:ind w:firstLine="480"/>
              <w:rPr>
                <w:lang w:val="zh-CN"/>
              </w:rPr>
            </w:pPr>
            <w:r>
              <w:rPr>
                <w:rFonts w:hint="eastAsia"/>
                <w:lang w:val="zh-CN"/>
              </w:rPr>
              <w:t>⑤实验室应设置机械排风装置，加强室内通风，防止可燃气体的累积；</w:t>
            </w:r>
          </w:p>
          <w:p>
            <w:pPr>
              <w:ind w:firstLine="480"/>
              <w:rPr>
                <w:lang w:val="zh-CN"/>
              </w:rPr>
            </w:pPr>
            <w:r>
              <w:rPr>
                <w:rFonts w:hint="eastAsia"/>
                <w:lang w:val="zh-CN"/>
              </w:rPr>
              <w:t>⑥化学品入库要检测，贮存期间应定期养护，控制贮存场所的温湿度，空气湿度为65%，温度为20~22℃；</w:t>
            </w:r>
          </w:p>
          <w:p>
            <w:pPr>
              <w:ind w:firstLine="480"/>
              <w:rPr>
                <w:lang w:val="zh-CN"/>
              </w:rPr>
            </w:pPr>
            <w:r>
              <w:rPr>
                <w:rFonts w:hint="eastAsia"/>
                <w:lang w:val="zh-CN"/>
              </w:rPr>
              <w:t>⑦工作人员接收危险化学品时，应按操作程序工作，以消除贮存中的事故隐患；</w:t>
            </w:r>
          </w:p>
          <w:p>
            <w:pPr>
              <w:ind w:firstLine="480"/>
              <w:rPr>
                <w:lang w:val="zh-CN"/>
              </w:rPr>
            </w:pPr>
            <w:r>
              <w:rPr>
                <w:rFonts w:hint="eastAsia"/>
                <w:lang w:val="zh-CN"/>
              </w:rPr>
              <w:t>⑧项目内设置手提式干粉灭火器，并备置消防栓系统及消防砂。</w:t>
            </w:r>
          </w:p>
          <w:p>
            <w:pPr>
              <w:ind w:firstLine="480"/>
              <w:rPr>
                <w:lang w:val="zh-CN"/>
              </w:rPr>
            </w:pPr>
            <w:r>
              <w:rPr>
                <w:rFonts w:hint="eastAsia"/>
                <w:lang w:val="zh-CN"/>
              </w:rPr>
              <w:t>（2）危险废物贮存风险事故防范措施</w:t>
            </w:r>
          </w:p>
          <w:p>
            <w:pPr>
              <w:ind w:firstLine="480"/>
              <w:rPr>
                <w:lang w:val="zh-CN"/>
              </w:rPr>
            </w:pPr>
            <w:r>
              <w:rPr>
                <w:rFonts w:hint="eastAsia"/>
                <w:lang w:val="zh-CN"/>
              </w:rPr>
              <w:t>本项目实验过程中将产生一定量的危险废物，为了最大限度减少项目对周围环境的风险，实验室危险废物处置的管理应符合国家、地区或地方的相关要求。所有不再需要的样本应弃置于专门设计的、专用的和有标记的用于处置危险废弃物的容器内。废弃物容器的充满量不能超过其设计容量。实验室管理层应确保由经过适当培训的人员使用适当的个人防护装备和设备处理危险废弃物。实验室废弃物应置于适当的密封且防漏容器中安全运出实验室。有害气体、污水、废液应经适当的无害化处理后排放，应符合国家相关的要求。</w:t>
            </w:r>
          </w:p>
          <w:p>
            <w:pPr>
              <w:ind w:firstLine="480"/>
              <w:rPr>
                <w:lang w:val="zh-CN"/>
              </w:rPr>
            </w:pPr>
            <w:r>
              <w:rPr>
                <w:rFonts w:hint="eastAsia"/>
                <w:lang w:val="zh-CN"/>
              </w:rPr>
              <w:t>（3）泄漏、火灾事故防范措施</w:t>
            </w:r>
          </w:p>
          <w:p>
            <w:pPr>
              <w:ind w:firstLine="480"/>
              <w:rPr>
                <w:lang w:val="zh-CN"/>
              </w:rPr>
            </w:pPr>
            <w:r>
              <w:rPr>
                <w:rFonts w:hint="eastAsia"/>
                <w:lang w:val="zh-CN"/>
              </w:rPr>
              <w:t>建立公司实验试剂登记制度，定期登记汇总的危险化学品种类和数量存档；发生泄漏后，建设单位要积极主动采取果断措施，如严格控制电、火源，及时报警，特别要配合消防部门，提供相关物料的理化性质等，做好协助工作；禁止明火等一切安全隐患的存在。贮存库应阴凉通风，远离热源、火种，防止日光暴晒，严禁受热。对员工进行日常风险教育和培训，提高安全防范知识的宣传力度，增加实验人员的安全意识。</w:t>
            </w:r>
          </w:p>
          <w:p>
            <w:pPr>
              <w:ind w:firstLine="480"/>
              <w:rPr>
                <w:lang w:val="zh-CN"/>
              </w:rPr>
            </w:pPr>
            <w:r>
              <w:rPr>
                <w:rFonts w:hint="eastAsia"/>
                <w:lang w:val="zh-CN"/>
              </w:rPr>
              <w:t>（4）废水处理系统故障风险防范措施</w:t>
            </w:r>
          </w:p>
          <w:p>
            <w:pPr>
              <w:ind w:firstLine="480"/>
              <w:rPr>
                <w:lang w:val="zh-CN"/>
              </w:rPr>
            </w:pPr>
            <w:r>
              <w:rPr>
                <w:rFonts w:hint="eastAsia"/>
                <w:lang w:val="zh-CN"/>
              </w:rPr>
              <w:t>建议建设单位安排专人每天定期检查设备运行情况，若出现故障，应立即检查废水处理装置发生的问题并维修，应尽快将问题妥善解决，避免大量未达标水质排入市政管网，对周边环境造成影响。委托有资质的监测机构定期对废水排放口监测，掌握污染物的排放情况，建立废水治理措施运行台账管理制度，杜绝废水事故排放。</w:t>
            </w:r>
          </w:p>
          <w:p>
            <w:pPr>
              <w:pStyle w:val="5"/>
              <w:rPr>
                <w:lang w:eastAsia="zh-CN"/>
              </w:rPr>
            </w:pPr>
            <w:r>
              <w:rPr>
                <w:rFonts w:hint="eastAsia"/>
                <w:lang w:eastAsia="zh-CN"/>
              </w:rPr>
              <w:t>环境风险应急要求</w:t>
            </w:r>
          </w:p>
          <w:p>
            <w:pPr>
              <w:ind w:firstLine="480"/>
              <w:rPr>
                <w:lang w:val="zh-CN"/>
              </w:rPr>
            </w:pPr>
            <w:r>
              <w:rPr>
                <w:rFonts w:hint="eastAsia"/>
                <w:lang w:val="zh-CN"/>
              </w:rPr>
              <w:t>当发生实验药液破损或打碎等事故时，实验室应及时使用棉布或吸液棉对泄漏液体进行吸收防止漫流，控制泄漏范围，并及时对吸液棉布按危险废物管理要求进行收集，交由有相关危险废物处理资质单位处理。</w:t>
            </w:r>
          </w:p>
          <w:p>
            <w:pPr>
              <w:pStyle w:val="5"/>
              <w:rPr>
                <w:lang w:eastAsia="zh-CN"/>
              </w:rPr>
            </w:pPr>
            <w:r>
              <w:rPr>
                <w:rFonts w:hint="eastAsia"/>
                <w:lang w:eastAsia="zh-CN"/>
              </w:rPr>
              <w:t>风险分析结论</w:t>
            </w:r>
          </w:p>
          <w:p>
            <w:pPr>
              <w:ind w:firstLine="480"/>
              <w:rPr>
                <w:lang w:val="zh-CN"/>
              </w:rPr>
            </w:pPr>
            <w:r>
              <w:rPr>
                <w:rFonts w:hint="eastAsia"/>
                <w:lang w:val="zh-CN"/>
              </w:rPr>
              <w:t>建设单位将严格采取实施上述提出的要求措施后，可有效防止项目产生的污染物进入环境，有效降低了对周围环境存在的风险影响。并且通过上述措施，建设单位可将生物危害和毒性危害控制在可接受的范围内，不会人体、周围敏感点及水体、大气等造成明显危害。项目环境风险潜势为Ⅰ，控制措施有效，环境风险可防控。</w:t>
            </w:r>
          </w:p>
          <w:p>
            <w:pPr>
              <w:pStyle w:val="4"/>
            </w:pPr>
            <w:bookmarkStart w:id="142" w:name="_Toc120889827"/>
            <w:bookmarkStart w:id="143" w:name="_Toc121147756"/>
            <w:bookmarkStart w:id="144" w:name="_Toc122338524"/>
            <w:r>
              <w:rPr>
                <w:rFonts w:hint="eastAsia"/>
                <w:lang w:eastAsia="zh-CN"/>
              </w:rPr>
              <w:t>环保投资</w:t>
            </w:r>
            <w:bookmarkEnd w:id="142"/>
            <w:bookmarkEnd w:id="143"/>
            <w:bookmarkEnd w:id="144"/>
          </w:p>
          <w:p>
            <w:pPr>
              <w:ind w:firstLine="480"/>
              <w:rPr>
                <w:lang w:val="zh-CN"/>
              </w:rPr>
            </w:pPr>
            <w:r>
              <w:rPr>
                <w:rFonts w:hint="eastAsia"/>
                <w:lang w:val="zh-CN"/>
              </w:rPr>
              <w:t>本项目共投资</w:t>
            </w:r>
            <w:r>
              <w:rPr>
                <w:lang w:val="zh-CN"/>
              </w:rPr>
              <w:t>7000</w:t>
            </w:r>
            <w:r>
              <w:rPr>
                <w:rFonts w:hint="eastAsia"/>
                <w:lang w:val="zh-CN"/>
              </w:rPr>
              <w:t>万元，其中环保投资5</w:t>
            </w:r>
            <w:r>
              <w:rPr>
                <w:lang w:val="zh-CN"/>
              </w:rPr>
              <w:t>5</w:t>
            </w:r>
            <w:r>
              <w:rPr>
                <w:rFonts w:hint="eastAsia"/>
                <w:lang w:val="zh-CN"/>
              </w:rPr>
              <w:t>万元，投资情况见下表。</w:t>
            </w:r>
          </w:p>
          <w:tbl>
            <w:tblPr>
              <w:tblStyle w:val="36"/>
              <w:tblW w:w="5000" w:type="pct"/>
              <w:tblInd w:w="0" w:type="dxa"/>
              <w:tblLayout w:type="autofit"/>
              <w:tblCellMar>
                <w:top w:w="15" w:type="dxa"/>
                <w:left w:w="15" w:type="dxa"/>
                <w:bottom w:w="15" w:type="dxa"/>
                <w:right w:w="15" w:type="dxa"/>
              </w:tblCellMar>
            </w:tblPr>
            <w:tblGrid>
              <w:gridCol w:w="745"/>
              <w:gridCol w:w="1090"/>
              <w:gridCol w:w="3963"/>
              <w:gridCol w:w="1325"/>
            </w:tblGrid>
            <w:tr>
              <w:trPr>
                <w:trHeight w:val="397" w:hRule="atLeast"/>
              </w:trPr>
              <w:tc>
                <w:tcPr>
                  <w:tcW w:w="1288" w:type="pct"/>
                  <w:gridSpan w:val="2"/>
                  <w:tcBorders>
                    <w:top w:val="single" w:color="000000" w:sz="4" w:space="0"/>
                    <w:left w:val="single" w:color="000000" w:sz="4" w:space="0"/>
                    <w:bottom w:val="single" w:color="000000" w:sz="4" w:space="0"/>
                    <w:right w:val="single" w:color="000000" w:sz="4" w:space="0"/>
                  </w:tcBorders>
                  <w:noWrap/>
                  <w:vAlign w:val="center"/>
                </w:tcPr>
                <w:p>
                  <w:pPr>
                    <w:pStyle w:val="66"/>
                  </w:pPr>
                  <w:r>
                    <w:t>类别</w:t>
                  </w:r>
                </w:p>
              </w:tc>
              <w:tc>
                <w:tcPr>
                  <w:tcW w:w="2782" w:type="pct"/>
                  <w:tcBorders>
                    <w:top w:val="single" w:color="000000" w:sz="4" w:space="0"/>
                    <w:left w:val="single" w:color="000000" w:sz="4" w:space="0"/>
                    <w:bottom w:val="single" w:color="000000" w:sz="4" w:space="0"/>
                    <w:right w:val="single" w:color="000000" w:sz="4" w:space="0"/>
                  </w:tcBorders>
                  <w:noWrap/>
                  <w:vAlign w:val="center"/>
                </w:tcPr>
                <w:p>
                  <w:pPr>
                    <w:pStyle w:val="66"/>
                  </w:pPr>
                  <w:r>
                    <w:t>设施或措施</w:t>
                  </w:r>
                </w:p>
              </w:tc>
              <w:tc>
                <w:tcPr>
                  <w:tcW w:w="930" w:type="pct"/>
                  <w:tcBorders>
                    <w:top w:val="single" w:color="000000" w:sz="4" w:space="0"/>
                    <w:left w:val="single" w:color="000000" w:sz="4" w:space="0"/>
                    <w:bottom w:val="single" w:color="000000" w:sz="4" w:space="0"/>
                    <w:right w:val="single" w:color="000000" w:sz="4" w:space="0"/>
                  </w:tcBorders>
                  <w:noWrap/>
                  <w:vAlign w:val="center"/>
                </w:tcPr>
                <w:p>
                  <w:pPr>
                    <w:pStyle w:val="66"/>
                  </w:pPr>
                  <w:r>
                    <w:t>投资额(万元)</w:t>
                  </w:r>
                </w:p>
              </w:tc>
            </w:tr>
            <w:tr>
              <w:tblPrEx>
                <w:tblCellMar>
                  <w:top w:w="15" w:type="dxa"/>
                  <w:left w:w="15" w:type="dxa"/>
                  <w:bottom w:w="15" w:type="dxa"/>
                  <w:right w:w="15" w:type="dxa"/>
                </w:tblCellMar>
              </w:tblPrEx>
              <w:trPr>
                <w:trHeight w:val="397" w:hRule="atLeast"/>
              </w:trPr>
              <w:tc>
                <w:tcPr>
                  <w:tcW w:w="1288" w:type="pct"/>
                  <w:gridSpan w:val="2"/>
                  <w:tcBorders>
                    <w:top w:val="single" w:color="000000" w:sz="4" w:space="0"/>
                    <w:left w:val="single" w:color="000000" w:sz="4" w:space="0"/>
                    <w:bottom w:val="single" w:color="000000" w:sz="4" w:space="0"/>
                    <w:right w:val="single" w:color="000000" w:sz="4" w:space="0"/>
                  </w:tcBorders>
                  <w:noWrap/>
                  <w:vAlign w:val="center"/>
                </w:tcPr>
                <w:p>
                  <w:pPr>
                    <w:pStyle w:val="66"/>
                  </w:pPr>
                  <w:r>
                    <w:t>废水</w:t>
                  </w:r>
                </w:p>
              </w:tc>
              <w:tc>
                <w:tcPr>
                  <w:tcW w:w="2782" w:type="pct"/>
                  <w:tcBorders>
                    <w:top w:val="single" w:color="000000" w:sz="4" w:space="0"/>
                    <w:left w:val="single" w:color="000000" w:sz="4" w:space="0"/>
                    <w:bottom w:val="single" w:color="000000" w:sz="4" w:space="0"/>
                    <w:right w:val="single" w:color="000000" w:sz="4" w:space="0"/>
                  </w:tcBorders>
                  <w:noWrap/>
                  <w:vAlign w:val="center"/>
                </w:tcPr>
                <w:p>
                  <w:pPr>
                    <w:pStyle w:val="66"/>
                  </w:pPr>
                  <w:r>
                    <w:rPr>
                      <w:rFonts w:hint="eastAsia"/>
                    </w:rPr>
                    <w:t>自建污水处理设施</w:t>
                  </w:r>
                </w:p>
              </w:tc>
              <w:tc>
                <w:tcPr>
                  <w:tcW w:w="930" w:type="pct"/>
                  <w:tcBorders>
                    <w:top w:val="single" w:color="000000" w:sz="4" w:space="0"/>
                    <w:left w:val="single" w:color="000000" w:sz="4" w:space="0"/>
                    <w:bottom w:val="single" w:color="000000" w:sz="4" w:space="0"/>
                    <w:right w:val="single" w:color="000000" w:sz="4" w:space="0"/>
                  </w:tcBorders>
                  <w:noWrap/>
                  <w:vAlign w:val="center"/>
                </w:tcPr>
                <w:p>
                  <w:pPr>
                    <w:pStyle w:val="66"/>
                  </w:pPr>
                  <w:r>
                    <w:rPr>
                      <w:rFonts w:hint="eastAsia"/>
                    </w:rPr>
                    <w:t>10</w:t>
                  </w:r>
                </w:p>
              </w:tc>
            </w:tr>
            <w:tr>
              <w:tblPrEx>
                <w:tblCellMar>
                  <w:top w:w="15" w:type="dxa"/>
                  <w:left w:w="15" w:type="dxa"/>
                  <w:bottom w:w="15" w:type="dxa"/>
                  <w:right w:w="15" w:type="dxa"/>
                </w:tblCellMar>
              </w:tblPrEx>
              <w:trPr>
                <w:trHeight w:val="397" w:hRule="atLeast"/>
              </w:trPr>
              <w:tc>
                <w:tcPr>
                  <w:tcW w:w="523" w:type="pct"/>
                  <w:vMerge w:val="restart"/>
                  <w:tcBorders>
                    <w:top w:val="single" w:color="000000" w:sz="4" w:space="0"/>
                    <w:left w:val="single" w:color="000000" w:sz="4" w:space="0"/>
                    <w:right w:val="single" w:color="auto" w:sz="4" w:space="0"/>
                  </w:tcBorders>
                  <w:noWrap/>
                  <w:vAlign w:val="center"/>
                </w:tcPr>
                <w:p>
                  <w:pPr>
                    <w:pStyle w:val="66"/>
                  </w:pPr>
                  <w:r>
                    <w:t>废气</w:t>
                  </w:r>
                </w:p>
              </w:tc>
              <w:tc>
                <w:tcPr>
                  <w:tcW w:w="765" w:type="pct"/>
                  <w:tcBorders>
                    <w:top w:val="single" w:color="000000" w:sz="4" w:space="0"/>
                    <w:left w:val="single" w:color="auto" w:sz="4" w:space="0"/>
                    <w:bottom w:val="single" w:color="auto" w:sz="4" w:space="0"/>
                    <w:right w:val="single" w:color="000000" w:sz="4" w:space="0"/>
                  </w:tcBorders>
                  <w:noWrap/>
                  <w:vAlign w:val="center"/>
                </w:tcPr>
                <w:p>
                  <w:pPr>
                    <w:pStyle w:val="66"/>
                  </w:pPr>
                  <w:r>
                    <w:rPr>
                      <w:rFonts w:hint="eastAsia"/>
                    </w:rPr>
                    <w:t>VOCs</w:t>
                  </w:r>
                </w:p>
              </w:tc>
              <w:tc>
                <w:tcPr>
                  <w:tcW w:w="2782" w:type="pct"/>
                  <w:tcBorders>
                    <w:top w:val="single" w:color="000000" w:sz="4" w:space="0"/>
                    <w:left w:val="single" w:color="000000" w:sz="4" w:space="0"/>
                    <w:bottom w:val="single" w:color="auto" w:sz="4" w:space="0"/>
                    <w:right w:val="single" w:color="000000" w:sz="4" w:space="0"/>
                  </w:tcBorders>
                  <w:noWrap/>
                  <w:vAlign w:val="center"/>
                </w:tcPr>
                <w:p>
                  <w:pPr>
                    <w:pStyle w:val="66"/>
                  </w:pPr>
                  <w:r>
                    <w:t>室内通</w:t>
                  </w:r>
                  <w:r>
                    <w:rPr>
                      <w:rFonts w:hint="eastAsia"/>
                    </w:rPr>
                    <w:t>排</w:t>
                  </w:r>
                  <w:r>
                    <w:t>风系统</w:t>
                  </w:r>
                </w:p>
              </w:tc>
              <w:tc>
                <w:tcPr>
                  <w:tcW w:w="930" w:type="pct"/>
                  <w:tcBorders>
                    <w:top w:val="single" w:color="000000" w:sz="4" w:space="0"/>
                    <w:left w:val="single" w:color="000000" w:sz="4" w:space="0"/>
                    <w:bottom w:val="single" w:color="auto" w:sz="4" w:space="0"/>
                    <w:right w:val="single" w:color="000000" w:sz="4" w:space="0"/>
                  </w:tcBorders>
                  <w:noWrap/>
                  <w:vAlign w:val="center"/>
                </w:tcPr>
                <w:p>
                  <w:pPr>
                    <w:pStyle w:val="66"/>
                  </w:pPr>
                  <w:r>
                    <w:t>15</w:t>
                  </w:r>
                </w:p>
              </w:tc>
            </w:tr>
            <w:tr>
              <w:tblPrEx>
                <w:tblCellMar>
                  <w:top w:w="15" w:type="dxa"/>
                  <w:left w:w="15" w:type="dxa"/>
                  <w:bottom w:w="15" w:type="dxa"/>
                  <w:right w:w="15" w:type="dxa"/>
                </w:tblCellMar>
              </w:tblPrEx>
              <w:trPr>
                <w:trHeight w:val="397" w:hRule="atLeast"/>
              </w:trPr>
              <w:tc>
                <w:tcPr>
                  <w:tcW w:w="523" w:type="pct"/>
                  <w:vMerge w:val="continue"/>
                  <w:tcBorders>
                    <w:left w:val="single" w:color="000000" w:sz="4" w:space="0"/>
                    <w:bottom w:val="single" w:color="000000" w:sz="4" w:space="0"/>
                    <w:right w:val="single" w:color="auto" w:sz="4" w:space="0"/>
                  </w:tcBorders>
                  <w:noWrap/>
                  <w:vAlign w:val="center"/>
                </w:tcPr>
                <w:p>
                  <w:pPr>
                    <w:pStyle w:val="66"/>
                  </w:pPr>
                </w:p>
              </w:tc>
              <w:tc>
                <w:tcPr>
                  <w:tcW w:w="765" w:type="pct"/>
                  <w:tcBorders>
                    <w:top w:val="single" w:color="auto" w:sz="4" w:space="0"/>
                    <w:left w:val="single" w:color="auto" w:sz="4" w:space="0"/>
                    <w:bottom w:val="single" w:color="000000" w:sz="4" w:space="0"/>
                    <w:right w:val="single" w:color="000000" w:sz="4" w:space="0"/>
                  </w:tcBorders>
                  <w:noWrap/>
                  <w:vAlign w:val="center"/>
                </w:tcPr>
                <w:p>
                  <w:pPr>
                    <w:pStyle w:val="66"/>
                  </w:pPr>
                  <w:r>
                    <w:rPr>
                      <w:rFonts w:hint="eastAsia"/>
                    </w:rPr>
                    <w:t>气溶胶</w:t>
                  </w:r>
                </w:p>
              </w:tc>
              <w:tc>
                <w:tcPr>
                  <w:tcW w:w="2782" w:type="pct"/>
                  <w:tcBorders>
                    <w:top w:val="single" w:color="auto" w:sz="4" w:space="0"/>
                    <w:left w:val="single" w:color="000000" w:sz="4" w:space="0"/>
                    <w:bottom w:val="single" w:color="000000" w:sz="4" w:space="0"/>
                    <w:right w:val="single" w:color="000000" w:sz="4" w:space="0"/>
                  </w:tcBorders>
                  <w:noWrap/>
                  <w:vAlign w:val="center"/>
                </w:tcPr>
                <w:p>
                  <w:pPr>
                    <w:pStyle w:val="66"/>
                  </w:pPr>
                  <w:r>
                    <w:t>生物安全柜和</w:t>
                  </w:r>
                  <w:r>
                    <w:rPr>
                      <w:rFonts w:hint="eastAsia"/>
                      <w:lang w:eastAsia="zh-CN"/>
                    </w:rPr>
                    <w:t>高效</w:t>
                  </w:r>
                  <w:r>
                    <w:t>过滤器</w:t>
                  </w:r>
                </w:p>
              </w:tc>
              <w:tc>
                <w:tcPr>
                  <w:tcW w:w="930" w:type="pct"/>
                  <w:tcBorders>
                    <w:top w:val="single" w:color="auto" w:sz="4" w:space="0"/>
                    <w:left w:val="single" w:color="000000" w:sz="4" w:space="0"/>
                    <w:bottom w:val="single" w:color="000000" w:sz="4" w:space="0"/>
                    <w:right w:val="single" w:color="000000" w:sz="4" w:space="0"/>
                  </w:tcBorders>
                  <w:noWrap/>
                  <w:vAlign w:val="center"/>
                </w:tcPr>
                <w:p>
                  <w:pPr>
                    <w:pStyle w:val="66"/>
                  </w:pPr>
                  <w:r>
                    <w:t>20</w:t>
                  </w:r>
                </w:p>
              </w:tc>
            </w:tr>
            <w:tr>
              <w:trPr>
                <w:trHeight w:val="397" w:hRule="atLeast"/>
              </w:trPr>
              <w:tc>
                <w:tcPr>
                  <w:tcW w:w="1288" w:type="pct"/>
                  <w:gridSpan w:val="2"/>
                  <w:tcBorders>
                    <w:top w:val="single" w:color="000000" w:sz="4" w:space="0"/>
                    <w:left w:val="single" w:color="000000" w:sz="4" w:space="0"/>
                    <w:bottom w:val="single" w:color="000000" w:sz="4" w:space="0"/>
                    <w:right w:val="single" w:color="000000" w:sz="4" w:space="0"/>
                  </w:tcBorders>
                  <w:noWrap/>
                  <w:vAlign w:val="center"/>
                </w:tcPr>
                <w:p>
                  <w:pPr>
                    <w:pStyle w:val="66"/>
                  </w:pPr>
                  <w:r>
                    <w:t>噪声</w:t>
                  </w:r>
                </w:p>
              </w:tc>
              <w:tc>
                <w:tcPr>
                  <w:tcW w:w="2782" w:type="pct"/>
                  <w:tcBorders>
                    <w:top w:val="single" w:color="000000" w:sz="4" w:space="0"/>
                    <w:left w:val="single" w:color="000000" w:sz="4" w:space="0"/>
                    <w:bottom w:val="single" w:color="000000" w:sz="4" w:space="0"/>
                    <w:right w:val="single" w:color="000000" w:sz="4" w:space="0"/>
                  </w:tcBorders>
                  <w:noWrap/>
                  <w:vAlign w:val="center"/>
                </w:tcPr>
                <w:p>
                  <w:pPr>
                    <w:pStyle w:val="66"/>
                  </w:pPr>
                  <w:r>
                    <w:rPr>
                      <w:rFonts w:hint="eastAsia"/>
                    </w:rPr>
                    <w:t>设备</w:t>
                  </w:r>
                  <w:r>
                    <w:t>基础减震</w:t>
                  </w:r>
                  <w:r>
                    <w:rPr>
                      <w:rFonts w:hint="eastAsia"/>
                    </w:rPr>
                    <w:t>等</w:t>
                  </w:r>
                </w:p>
              </w:tc>
              <w:tc>
                <w:tcPr>
                  <w:tcW w:w="930" w:type="pct"/>
                  <w:tcBorders>
                    <w:top w:val="single" w:color="000000" w:sz="4" w:space="0"/>
                    <w:left w:val="single" w:color="000000" w:sz="4" w:space="0"/>
                    <w:bottom w:val="single" w:color="000000" w:sz="4" w:space="0"/>
                    <w:right w:val="single" w:color="000000" w:sz="4" w:space="0"/>
                  </w:tcBorders>
                  <w:noWrap/>
                  <w:vAlign w:val="center"/>
                </w:tcPr>
                <w:p>
                  <w:pPr>
                    <w:pStyle w:val="66"/>
                  </w:pPr>
                  <w:r>
                    <w:t>5</w:t>
                  </w:r>
                </w:p>
              </w:tc>
            </w:tr>
            <w:tr>
              <w:tblPrEx>
                <w:tblCellMar>
                  <w:top w:w="15" w:type="dxa"/>
                  <w:left w:w="15" w:type="dxa"/>
                  <w:bottom w:w="15" w:type="dxa"/>
                  <w:right w:w="15" w:type="dxa"/>
                </w:tblCellMar>
              </w:tblPrEx>
              <w:trPr>
                <w:trHeight w:val="397" w:hRule="atLeast"/>
              </w:trPr>
              <w:tc>
                <w:tcPr>
                  <w:tcW w:w="1288" w:type="pct"/>
                  <w:gridSpan w:val="2"/>
                  <w:tcBorders>
                    <w:top w:val="single" w:color="000000" w:sz="4" w:space="0"/>
                    <w:left w:val="single" w:color="000000" w:sz="4" w:space="0"/>
                    <w:bottom w:val="single" w:color="000000" w:sz="4" w:space="0"/>
                    <w:right w:val="single" w:color="000000" w:sz="4" w:space="0"/>
                  </w:tcBorders>
                  <w:noWrap/>
                  <w:vAlign w:val="center"/>
                </w:tcPr>
                <w:p>
                  <w:pPr>
                    <w:pStyle w:val="66"/>
                  </w:pPr>
                  <w:r>
                    <w:t>固废</w:t>
                  </w:r>
                </w:p>
              </w:tc>
              <w:tc>
                <w:tcPr>
                  <w:tcW w:w="2782" w:type="pct"/>
                  <w:tcBorders>
                    <w:top w:val="single" w:color="000000" w:sz="4" w:space="0"/>
                    <w:left w:val="single" w:color="000000" w:sz="4" w:space="0"/>
                    <w:bottom w:val="single" w:color="000000" w:sz="4" w:space="0"/>
                    <w:right w:val="single" w:color="000000" w:sz="4" w:space="0"/>
                  </w:tcBorders>
                  <w:noWrap/>
                  <w:vAlign w:val="center"/>
                </w:tcPr>
                <w:p>
                  <w:pPr>
                    <w:pStyle w:val="66"/>
                  </w:pPr>
                  <w:r>
                    <w:rPr>
                      <w:rFonts w:hint="eastAsia"/>
                    </w:rPr>
                    <w:t>危险废物暂存间、危险废物委外处置</w:t>
                  </w:r>
                </w:p>
              </w:tc>
              <w:tc>
                <w:tcPr>
                  <w:tcW w:w="930" w:type="pct"/>
                  <w:tcBorders>
                    <w:top w:val="single" w:color="000000" w:sz="4" w:space="0"/>
                    <w:left w:val="single" w:color="000000" w:sz="4" w:space="0"/>
                    <w:bottom w:val="single" w:color="000000" w:sz="4" w:space="0"/>
                    <w:right w:val="single" w:color="000000" w:sz="4" w:space="0"/>
                  </w:tcBorders>
                  <w:noWrap/>
                  <w:vAlign w:val="center"/>
                </w:tcPr>
                <w:p>
                  <w:pPr>
                    <w:pStyle w:val="66"/>
                  </w:pPr>
                  <w:r>
                    <w:t>5</w:t>
                  </w:r>
                </w:p>
              </w:tc>
            </w:tr>
            <w:tr>
              <w:trPr>
                <w:trHeight w:val="397" w:hRule="atLeast"/>
              </w:trPr>
              <w:tc>
                <w:tcPr>
                  <w:tcW w:w="4070" w:type="pct"/>
                  <w:gridSpan w:val="3"/>
                  <w:tcBorders>
                    <w:top w:val="single" w:color="000000" w:sz="4" w:space="0"/>
                    <w:left w:val="single" w:color="000000" w:sz="4" w:space="0"/>
                    <w:bottom w:val="single" w:color="000000" w:sz="4" w:space="0"/>
                    <w:right w:val="single" w:color="000000" w:sz="4" w:space="0"/>
                  </w:tcBorders>
                  <w:noWrap/>
                  <w:vAlign w:val="center"/>
                </w:tcPr>
                <w:p>
                  <w:pPr>
                    <w:pStyle w:val="66"/>
                  </w:pPr>
                  <w:r>
                    <w:t>总计</w:t>
                  </w:r>
                </w:p>
              </w:tc>
              <w:tc>
                <w:tcPr>
                  <w:tcW w:w="930" w:type="pct"/>
                  <w:tcBorders>
                    <w:top w:val="single" w:color="000000" w:sz="4" w:space="0"/>
                    <w:left w:val="single" w:color="000000" w:sz="4" w:space="0"/>
                    <w:bottom w:val="single" w:color="000000" w:sz="4" w:space="0"/>
                    <w:right w:val="single" w:color="000000" w:sz="4" w:space="0"/>
                  </w:tcBorders>
                  <w:noWrap/>
                  <w:vAlign w:val="center"/>
                </w:tcPr>
                <w:p>
                  <w:pPr>
                    <w:pStyle w:val="66"/>
                  </w:pPr>
                  <w:r>
                    <w:t>55</w:t>
                  </w:r>
                </w:p>
              </w:tc>
            </w:tr>
          </w:tbl>
          <w:p>
            <w:pPr>
              <w:ind w:firstLine="480"/>
              <w:rPr>
                <w:lang w:val="zh-CN"/>
              </w:rPr>
            </w:pPr>
          </w:p>
        </w:tc>
      </w:tr>
    </w:tbl>
    <w:p>
      <w:pPr>
        <w:ind w:firstLine="480"/>
        <w:rPr>
          <w:lang w:eastAsia="zh-CN"/>
        </w:rPr>
        <w:sectPr>
          <w:pgSz w:w="11906" w:h="16838"/>
          <w:pgMar w:top="1440" w:right="1800" w:bottom="1440" w:left="1800" w:header="851" w:footer="992" w:gutter="0"/>
          <w:cols w:space="720" w:num="1"/>
          <w:docGrid w:type="lines" w:linePitch="326" w:charSpace="0"/>
        </w:sectPr>
      </w:pPr>
    </w:p>
    <w:p>
      <w:pPr>
        <w:pStyle w:val="2"/>
        <w:spacing w:before="326" w:after="326"/>
        <w:rPr>
          <w:lang w:eastAsia="zh-CN"/>
        </w:rPr>
      </w:pPr>
      <w:bookmarkStart w:id="145" w:name="_Toc122338525"/>
      <w:r>
        <w:rPr>
          <w:rFonts w:hint="eastAsia"/>
          <w:lang w:eastAsia="zh-CN"/>
        </w:rPr>
        <w:t>环境保护措施监督检查清单</w:t>
      </w:r>
      <w:bookmarkEnd w:id="145"/>
    </w:p>
    <w:tbl>
      <w:tblPr>
        <w:tblStyle w:val="3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837"/>
        <w:gridCol w:w="1276"/>
        <w:gridCol w:w="1810"/>
        <w:gridCol w:w="2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2" w:type="dxa"/>
            <w:tcBorders>
              <w:tl2br w:val="single" w:color="auto" w:sz="4" w:space="0"/>
            </w:tcBorders>
          </w:tcPr>
          <w:p>
            <w:pPr>
              <w:ind w:firstLine="0" w:firstLineChars="0"/>
              <w:jc w:val="right"/>
              <w:rPr>
                <w:rFonts w:ascii="宋体" w:hAnsi="宋体" w:cs="宋体"/>
                <w:szCs w:val="21"/>
              </w:rPr>
            </w:pPr>
            <w:r>
              <w:rPr>
                <w:rFonts w:hint="eastAsia" w:ascii="宋体" w:hAnsi="宋体" w:cs="宋体"/>
                <w:szCs w:val="21"/>
              </w:rPr>
              <w:t>内容</w:t>
            </w:r>
          </w:p>
          <w:p>
            <w:pPr>
              <w:ind w:right="240" w:firstLine="0" w:firstLineChars="0"/>
              <w:jc w:val="right"/>
              <w:rPr>
                <w:rFonts w:ascii="宋体" w:hAnsi="宋体" w:cs="宋体"/>
                <w:szCs w:val="21"/>
              </w:rPr>
            </w:pPr>
          </w:p>
          <w:p>
            <w:pPr>
              <w:ind w:firstLine="0" w:firstLineChars="0"/>
              <w:rPr>
                <w:rFonts w:ascii="宋体" w:hAnsi="宋体" w:cs="宋体"/>
                <w:szCs w:val="21"/>
              </w:rPr>
            </w:pPr>
            <w:r>
              <w:rPr>
                <w:rFonts w:hint="eastAsia" w:ascii="宋体" w:hAnsi="宋体" w:cs="宋体"/>
                <w:szCs w:val="21"/>
              </w:rPr>
              <w:t>要素</w:t>
            </w:r>
          </w:p>
        </w:tc>
        <w:tc>
          <w:tcPr>
            <w:tcW w:w="1837" w:type="dxa"/>
            <w:vAlign w:val="center"/>
          </w:tcPr>
          <w:p>
            <w:pPr>
              <w:ind w:firstLine="0" w:firstLineChars="0"/>
              <w:jc w:val="center"/>
              <w:rPr>
                <w:rFonts w:ascii="宋体" w:hAnsi="宋体" w:cs="宋体"/>
                <w:szCs w:val="21"/>
              </w:rPr>
            </w:pPr>
            <w:r>
              <w:rPr>
                <w:rFonts w:hint="eastAsia" w:ascii="宋体" w:hAnsi="宋体" w:cs="宋体"/>
                <w:szCs w:val="21"/>
              </w:rPr>
              <w:t>排放口（编号、名称）/污染源</w:t>
            </w:r>
          </w:p>
        </w:tc>
        <w:tc>
          <w:tcPr>
            <w:tcW w:w="1276" w:type="dxa"/>
            <w:vAlign w:val="center"/>
          </w:tcPr>
          <w:p>
            <w:pPr>
              <w:ind w:firstLine="0" w:firstLineChars="0"/>
              <w:jc w:val="center"/>
              <w:rPr>
                <w:rFonts w:ascii="宋体" w:hAnsi="宋体" w:cs="宋体"/>
                <w:szCs w:val="21"/>
              </w:rPr>
            </w:pPr>
            <w:r>
              <w:rPr>
                <w:rFonts w:hint="eastAsia" w:ascii="宋体" w:hAnsi="宋体" w:cs="宋体"/>
                <w:szCs w:val="21"/>
              </w:rPr>
              <w:t>污染物项目</w:t>
            </w:r>
          </w:p>
        </w:tc>
        <w:tc>
          <w:tcPr>
            <w:tcW w:w="1810" w:type="dxa"/>
            <w:vAlign w:val="center"/>
          </w:tcPr>
          <w:p>
            <w:pPr>
              <w:ind w:firstLine="0" w:firstLineChars="0"/>
              <w:jc w:val="center"/>
              <w:rPr>
                <w:rFonts w:ascii="宋体" w:hAnsi="宋体" w:cs="宋体"/>
                <w:szCs w:val="21"/>
              </w:rPr>
            </w:pPr>
            <w:r>
              <w:rPr>
                <w:rFonts w:hint="eastAsia" w:ascii="宋体" w:hAnsi="宋体" w:cs="宋体"/>
                <w:szCs w:val="21"/>
              </w:rPr>
              <w:t>环境保护措施</w:t>
            </w:r>
          </w:p>
        </w:tc>
        <w:tc>
          <w:tcPr>
            <w:tcW w:w="2605" w:type="dxa"/>
            <w:vAlign w:val="center"/>
          </w:tcPr>
          <w:p>
            <w:pPr>
              <w:ind w:firstLine="0" w:firstLineChars="0"/>
              <w:jc w:val="center"/>
              <w:rPr>
                <w:rFonts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restart"/>
            <w:vAlign w:val="center"/>
          </w:tcPr>
          <w:p>
            <w:pPr>
              <w:ind w:firstLine="0" w:firstLineChars="0"/>
              <w:jc w:val="center"/>
              <w:rPr>
                <w:rFonts w:ascii="宋体" w:hAnsi="宋体" w:cs="宋体"/>
                <w:szCs w:val="21"/>
              </w:rPr>
            </w:pPr>
            <w:r>
              <w:rPr>
                <w:rFonts w:hint="eastAsia" w:ascii="宋体" w:hAnsi="宋体" w:cs="宋体"/>
                <w:szCs w:val="21"/>
              </w:rPr>
              <w:t>大气环境</w:t>
            </w:r>
          </w:p>
        </w:tc>
        <w:tc>
          <w:tcPr>
            <w:tcW w:w="1837" w:type="dxa"/>
            <w:vAlign w:val="center"/>
          </w:tcPr>
          <w:p>
            <w:pPr>
              <w:pStyle w:val="56"/>
              <w:rPr>
                <w:sz w:val="24"/>
                <w:szCs w:val="21"/>
                <w:lang w:val="en-US" w:eastAsia="zh-CN"/>
              </w:rPr>
            </w:pPr>
            <w:r>
              <w:rPr>
                <w:rFonts w:hint="eastAsia"/>
                <w:sz w:val="24"/>
                <w:szCs w:val="21"/>
                <w:lang w:val="en-US" w:eastAsia="zh-CN"/>
              </w:rPr>
              <w:t>PCR实验室1废气</w:t>
            </w:r>
          </w:p>
        </w:tc>
        <w:tc>
          <w:tcPr>
            <w:tcW w:w="1276" w:type="dxa"/>
            <w:vMerge w:val="restart"/>
            <w:vAlign w:val="center"/>
          </w:tcPr>
          <w:p>
            <w:pPr>
              <w:ind w:firstLine="0" w:firstLineChars="0"/>
              <w:jc w:val="center"/>
              <w:rPr>
                <w:szCs w:val="21"/>
              </w:rPr>
            </w:pPr>
            <w:r>
              <w:rPr>
                <w:rFonts w:hint="eastAsia"/>
                <w:szCs w:val="21"/>
              </w:rPr>
              <w:t>非甲烷总烃</w:t>
            </w:r>
          </w:p>
        </w:tc>
        <w:tc>
          <w:tcPr>
            <w:tcW w:w="1810" w:type="dxa"/>
            <w:vMerge w:val="restart"/>
            <w:vAlign w:val="center"/>
          </w:tcPr>
          <w:p>
            <w:pPr>
              <w:ind w:firstLine="0" w:firstLineChars="0"/>
              <w:jc w:val="center"/>
              <w:rPr>
                <w:rFonts w:ascii="宋体" w:hAnsi="宋体" w:cs="宋体"/>
                <w:szCs w:val="21"/>
              </w:rPr>
            </w:pPr>
            <w:r>
              <w:rPr>
                <w:rFonts w:hint="eastAsia" w:ascii="宋体" w:hAnsi="宋体" w:cs="宋体"/>
                <w:szCs w:val="21"/>
              </w:rPr>
              <w:t>/</w:t>
            </w:r>
          </w:p>
        </w:tc>
        <w:tc>
          <w:tcPr>
            <w:tcW w:w="2605" w:type="dxa"/>
            <w:vMerge w:val="restart"/>
            <w:vAlign w:val="center"/>
          </w:tcPr>
          <w:p>
            <w:pPr>
              <w:ind w:firstLine="0" w:firstLineChars="0"/>
              <w:jc w:val="center"/>
              <w:rPr>
                <w:szCs w:val="21"/>
                <w:highlight w:val="yellow"/>
              </w:rPr>
            </w:pPr>
            <w:r>
              <w:rPr>
                <w:rFonts w:hint="eastAsia"/>
                <w:lang w:val="zh-CN"/>
              </w:rPr>
              <w:t>广东省地方标准《大气污染物排放限值》（DB 44/27-2001）中第二时段二级标准与《固定污染源挥发性有机物综合排放标准》（</w:t>
            </w:r>
            <w:r>
              <w:rPr>
                <w:lang w:val="zh-CN"/>
              </w:rPr>
              <w:t>DB44/ 2367—2022</w:t>
            </w:r>
            <w:r>
              <w:rPr>
                <w:rFonts w:hint="eastAsia"/>
                <w:lang w:val="zh-CN"/>
              </w:rPr>
              <w:t>）较严值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PCR实验室1试剂准备室废气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PCR实验室2样本制备室废气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PCR实验室2扩增及分析室废气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PCR实验室3试剂准备室废气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PCR实验室3样本制备室废气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PCR实验室3扩增及分析室废气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PCR实验室走廊废气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NGS实验室废气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微生物前处理室、结核菌废气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pStyle w:val="56"/>
              <w:rPr>
                <w:sz w:val="24"/>
                <w:szCs w:val="21"/>
                <w:lang w:val="en-US" w:eastAsia="zh-CN"/>
              </w:rPr>
            </w:pPr>
            <w:r>
              <w:rPr>
                <w:rFonts w:hint="eastAsia"/>
                <w:sz w:val="24"/>
                <w:szCs w:val="21"/>
                <w:lang w:val="en-US" w:eastAsia="zh-CN"/>
              </w:rPr>
              <w:t>尿粪分析室、病理预埋室废气</w:t>
            </w:r>
          </w:p>
        </w:tc>
        <w:tc>
          <w:tcPr>
            <w:tcW w:w="1276" w:type="dxa"/>
            <w:vMerge w:val="continue"/>
            <w:vAlign w:val="center"/>
          </w:tcPr>
          <w:p>
            <w:pPr>
              <w:ind w:firstLine="0" w:firstLineChars="0"/>
              <w:jc w:val="center"/>
              <w:rPr>
                <w:szCs w:val="21"/>
              </w:rPr>
            </w:pPr>
          </w:p>
        </w:tc>
        <w:tc>
          <w:tcPr>
            <w:tcW w:w="1810" w:type="dxa"/>
            <w:vMerge w:val="continue"/>
            <w:vAlign w:val="center"/>
          </w:tcPr>
          <w:p>
            <w:pPr>
              <w:ind w:firstLine="0" w:firstLineChars="0"/>
              <w:jc w:val="center"/>
              <w:rPr>
                <w:rFonts w:ascii="宋体" w:hAnsi="宋体" w:cs="宋体"/>
                <w:szCs w:val="21"/>
              </w:rPr>
            </w:pPr>
          </w:p>
        </w:tc>
        <w:tc>
          <w:tcPr>
            <w:tcW w:w="2605" w:type="dxa"/>
            <w:vMerge w:val="continue"/>
            <w:vAlign w:val="center"/>
          </w:tcPr>
          <w:p>
            <w:pPr>
              <w:ind w:firstLine="0" w:firstLineChars="0"/>
              <w:jc w:val="center"/>
              <w:rPr>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ind w:firstLine="0" w:firstLineChars="0"/>
              <w:jc w:val="center"/>
              <w:rPr>
                <w:rFonts w:ascii="宋体" w:hAnsi="宋体" w:cs="宋体"/>
                <w:szCs w:val="21"/>
              </w:rPr>
            </w:pPr>
            <w:r>
              <w:rPr>
                <w:rFonts w:hint="eastAsia" w:ascii="宋体" w:hAnsi="宋体" w:cs="宋体"/>
                <w:szCs w:val="21"/>
              </w:rPr>
              <w:t>污水处理站臭气</w:t>
            </w:r>
          </w:p>
        </w:tc>
        <w:tc>
          <w:tcPr>
            <w:tcW w:w="1276" w:type="dxa"/>
            <w:vAlign w:val="center"/>
          </w:tcPr>
          <w:p>
            <w:pPr>
              <w:ind w:firstLine="0" w:firstLineChars="0"/>
              <w:jc w:val="center"/>
              <w:rPr>
                <w:szCs w:val="21"/>
              </w:rPr>
            </w:pPr>
            <w:r>
              <w:rPr>
                <w:rFonts w:hint="eastAsia"/>
                <w:szCs w:val="21"/>
              </w:rPr>
              <w:t>氨、硫化氢、臭气浓度</w:t>
            </w:r>
          </w:p>
        </w:tc>
        <w:tc>
          <w:tcPr>
            <w:tcW w:w="1810" w:type="dxa"/>
            <w:vAlign w:val="center"/>
          </w:tcPr>
          <w:p>
            <w:pPr>
              <w:ind w:firstLine="0" w:firstLineChars="0"/>
              <w:jc w:val="center"/>
              <w:rPr>
                <w:rFonts w:ascii="宋体" w:hAnsi="宋体" w:cs="宋体"/>
                <w:szCs w:val="21"/>
              </w:rPr>
            </w:pPr>
            <w:r>
              <w:rPr>
                <w:rFonts w:hint="eastAsia" w:ascii="宋体" w:hAnsi="宋体" w:cs="宋体"/>
                <w:szCs w:val="21"/>
              </w:rPr>
              <w:t>/</w:t>
            </w:r>
          </w:p>
        </w:tc>
        <w:tc>
          <w:tcPr>
            <w:tcW w:w="2605" w:type="dxa"/>
            <w:vAlign w:val="center"/>
          </w:tcPr>
          <w:p>
            <w:pPr>
              <w:ind w:firstLine="0" w:firstLineChars="0"/>
              <w:jc w:val="center"/>
              <w:rPr>
                <w:szCs w:val="21"/>
                <w:highlight w:val="yellow"/>
              </w:rPr>
            </w:pPr>
            <w:r>
              <w:rPr>
                <w:rFonts w:hint="eastAsia"/>
                <w:szCs w:val="21"/>
              </w:rPr>
              <w:t>《医疗机构水污染物排放标准》（GB18466-2005）表3污水处理站周边大气污染物最高允许浓度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ind w:firstLine="0" w:firstLineChars="0"/>
              <w:jc w:val="center"/>
              <w:rPr>
                <w:rFonts w:ascii="宋体" w:hAnsi="宋体" w:cs="宋体"/>
                <w:szCs w:val="21"/>
              </w:rPr>
            </w:pPr>
            <w:r>
              <w:rPr>
                <w:rFonts w:hint="eastAsia" w:ascii="宋体" w:hAnsi="宋体" w:cs="宋体"/>
                <w:szCs w:val="21"/>
              </w:rPr>
              <w:t>无组织</w:t>
            </w:r>
          </w:p>
          <w:p>
            <w:pPr>
              <w:ind w:firstLine="0" w:firstLineChars="0"/>
              <w:jc w:val="center"/>
              <w:rPr>
                <w:rFonts w:ascii="宋体" w:hAnsi="宋体" w:cs="宋体"/>
                <w:szCs w:val="21"/>
              </w:rPr>
            </w:pPr>
            <w:r>
              <w:rPr>
                <w:rFonts w:hint="eastAsia" w:ascii="宋体" w:hAnsi="宋体" w:cs="宋体"/>
                <w:szCs w:val="21"/>
              </w:rPr>
              <w:t>（厂界外浓度最高点）</w:t>
            </w:r>
          </w:p>
        </w:tc>
        <w:tc>
          <w:tcPr>
            <w:tcW w:w="1276" w:type="dxa"/>
            <w:vAlign w:val="center"/>
          </w:tcPr>
          <w:p>
            <w:pPr>
              <w:ind w:firstLine="0" w:firstLineChars="0"/>
              <w:jc w:val="center"/>
              <w:rPr>
                <w:szCs w:val="21"/>
              </w:rPr>
            </w:pPr>
            <w:r>
              <w:rPr>
                <w:rFonts w:hint="eastAsia"/>
                <w:szCs w:val="21"/>
              </w:rPr>
              <w:t>非甲烷总烃</w:t>
            </w:r>
          </w:p>
        </w:tc>
        <w:tc>
          <w:tcPr>
            <w:tcW w:w="1810" w:type="dxa"/>
            <w:vMerge w:val="restart"/>
            <w:vAlign w:val="center"/>
          </w:tcPr>
          <w:p>
            <w:pPr>
              <w:ind w:firstLine="0" w:firstLineChars="0"/>
              <w:jc w:val="center"/>
              <w:rPr>
                <w:rFonts w:ascii="宋体" w:hAnsi="宋体" w:cs="宋体"/>
                <w:szCs w:val="21"/>
              </w:rPr>
            </w:pPr>
            <w:r>
              <w:rPr>
                <w:rFonts w:hint="eastAsia" w:ascii="宋体" w:hAnsi="宋体" w:cs="宋体"/>
                <w:szCs w:val="21"/>
              </w:rPr>
              <w:t>实验室内无组织排放</w:t>
            </w:r>
          </w:p>
        </w:tc>
        <w:tc>
          <w:tcPr>
            <w:tcW w:w="2605" w:type="dxa"/>
            <w:vAlign w:val="center"/>
          </w:tcPr>
          <w:p>
            <w:pPr>
              <w:ind w:firstLine="0" w:firstLineChars="0"/>
              <w:jc w:val="center"/>
            </w:pPr>
            <w:r>
              <w:rPr>
                <w:rFonts w:hint="eastAsia"/>
              </w:rPr>
              <w:t>广东省地方标准《大气污染物排放限值》（DB44/27-2001）</w:t>
            </w:r>
            <w:r>
              <w:rPr>
                <w:rFonts w:hint="eastAsia"/>
                <w:spacing w:val="8"/>
                <w:szCs w:val="32"/>
                <w:lang w:bidi="ar"/>
              </w:rPr>
              <w:t>无组织排放监控点浓度限值要求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ind w:firstLine="0" w:firstLineChars="0"/>
              <w:jc w:val="center"/>
              <w:rPr>
                <w:rFonts w:ascii="宋体" w:hAnsi="宋体" w:cs="宋体"/>
                <w:szCs w:val="21"/>
              </w:rPr>
            </w:pPr>
            <w:r>
              <w:rPr>
                <w:rFonts w:hint="eastAsia" w:ascii="宋体" w:hAnsi="宋体" w:cs="宋体"/>
                <w:szCs w:val="21"/>
              </w:rPr>
              <w:t>无组织（厂区内无组织排放监控点）</w:t>
            </w:r>
          </w:p>
        </w:tc>
        <w:tc>
          <w:tcPr>
            <w:tcW w:w="1276" w:type="dxa"/>
            <w:vAlign w:val="center"/>
          </w:tcPr>
          <w:p>
            <w:pPr>
              <w:ind w:firstLine="0" w:firstLineChars="0"/>
              <w:jc w:val="center"/>
              <w:rPr>
                <w:szCs w:val="21"/>
              </w:rPr>
            </w:pPr>
            <w:r>
              <w:rPr>
                <w:szCs w:val="21"/>
              </w:rPr>
              <w:t>VOCs</w:t>
            </w:r>
            <w:r>
              <w:rPr>
                <w:rFonts w:hint="eastAsia"/>
                <w:szCs w:val="21"/>
              </w:rPr>
              <w:t>（NMHC）</w:t>
            </w:r>
          </w:p>
        </w:tc>
        <w:tc>
          <w:tcPr>
            <w:tcW w:w="1810" w:type="dxa"/>
            <w:vMerge w:val="continue"/>
            <w:vAlign w:val="center"/>
          </w:tcPr>
          <w:p>
            <w:pPr>
              <w:ind w:firstLine="0" w:firstLineChars="0"/>
              <w:jc w:val="center"/>
              <w:rPr>
                <w:rFonts w:ascii="宋体" w:hAnsi="宋体" w:cs="宋体"/>
                <w:szCs w:val="21"/>
              </w:rPr>
            </w:pPr>
          </w:p>
        </w:tc>
        <w:tc>
          <w:tcPr>
            <w:tcW w:w="2605" w:type="dxa"/>
            <w:vAlign w:val="center"/>
          </w:tcPr>
          <w:p>
            <w:pPr>
              <w:ind w:firstLine="0" w:firstLineChars="0"/>
              <w:jc w:val="center"/>
              <w:rPr>
                <w:szCs w:val="21"/>
                <w:highlight w:val="yellow"/>
              </w:rPr>
            </w:pPr>
            <w:r>
              <w:rPr>
                <w:rFonts w:hint="eastAsia"/>
                <w:lang w:val="zh-CN"/>
              </w:rPr>
              <w:t>《挥发性有机物无组织排放控制标准》（GB 37822-2019）表 A1 中特别排放限值</w:t>
            </w:r>
            <w:r>
              <w:rPr>
                <w:rFonts w:hint="eastAsia"/>
              </w:rPr>
              <w:t>与《固定污染源挥发性有机物综合排放标准》（DB44/ 2367—2022）较严值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1272" w:type="dxa"/>
            <w:vMerge w:val="continue"/>
            <w:vAlign w:val="center"/>
          </w:tcPr>
          <w:p>
            <w:pPr>
              <w:ind w:firstLine="0" w:firstLineChars="0"/>
              <w:jc w:val="center"/>
              <w:rPr>
                <w:rFonts w:ascii="宋体" w:hAnsi="宋体" w:cs="宋体"/>
                <w:szCs w:val="21"/>
              </w:rPr>
            </w:pPr>
          </w:p>
        </w:tc>
        <w:tc>
          <w:tcPr>
            <w:tcW w:w="1837" w:type="dxa"/>
            <w:vAlign w:val="center"/>
          </w:tcPr>
          <w:p>
            <w:pPr>
              <w:ind w:firstLine="0" w:firstLineChars="0"/>
              <w:jc w:val="center"/>
            </w:pPr>
            <w:r>
              <w:rPr>
                <w:rFonts w:hint="eastAsia"/>
              </w:rPr>
              <w:t>实验室废水</w:t>
            </w:r>
          </w:p>
        </w:tc>
        <w:tc>
          <w:tcPr>
            <w:tcW w:w="1276" w:type="dxa"/>
            <w:vAlign w:val="center"/>
          </w:tcPr>
          <w:p>
            <w:pPr>
              <w:ind w:firstLine="0" w:firstLineChars="0"/>
              <w:jc w:val="center"/>
            </w:pPr>
            <w:r>
              <w:rPr>
                <w:rFonts w:hint="eastAsia"/>
              </w:rPr>
              <w:t>COD</w:t>
            </w:r>
            <w:r>
              <w:rPr>
                <w:vertAlign w:val="subscript"/>
              </w:rPr>
              <w:t>Cr</w:t>
            </w:r>
            <w:r>
              <w:rPr>
                <w:rFonts w:hint="eastAsia"/>
              </w:rPr>
              <w:t>、BOD</w:t>
            </w:r>
            <w:r>
              <w:rPr>
                <w:rFonts w:hint="eastAsia"/>
                <w:vertAlign w:val="subscript"/>
              </w:rPr>
              <w:t>5</w:t>
            </w:r>
            <w:r>
              <w:rPr>
                <w:rFonts w:hint="eastAsia"/>
              </w:rPr>
              <w:t>、</w:t>
            </w:r>
          </w:p>
          <w:p>
            <w:pPr>
              <w:ind w:firstLine="0" w:firstLineChars="0"/>
              <w:jc w:val="center"/>
            </w:pPr>
            <w:r>
              <w:rPr>
                <w:rFonts w:hint="eastAsia"/>
              </w:rPr>
              <w:t>SS、NH</w:t>
            </w:r>
            <w:r>
              <w:rPr>
                <w:rFonts w:hint="eastAsia"/>
                <w:vertAlign w:val="subscript"/>
              </w:rPr>
              <w:t>3</w:t>
            </w:r>
            <w:r>
              <w:rPr>
                <w:rFonts w:hint="eastAsia"/>
              </w:rPr>
              <w:t>-N、粪大肠菌群</w:t>
            </w:r>
          </w:p>
        </w:tc>
        <w:tc>
          <w:tcPr>
            <w:tcW w:w="1810" w:type="dxa"/>
            <w:vAlign w:val="center"/>
          </w:tcPr>
          <w:p>
            <w:pPr>
              <w:ind w:firstLine="0" w:firstLineChars="0"/>
              <w:jc w:val="center"/>
              <w:rPr>
                <w:kern w:val="0"/>
              </w:rPr>
            </w:pPr>
            <w:r>
              <w:rPr>
                <w:rFonts w:hint="eastAsia"/>
                <w:kern w:val="0"/>
              </w:rPr>
              <w:t>企业自建的污水处理设施（处理规模5t/d，处理</w:t>
            </w:r>
            <w:r>
              <w:rPr>
                <w:rFonts w:hint="eastAsia"/>
                <w:lang w:val="zh-CN"/>
              </w:rPr>
              <w:t>一体化污水处理设备（化学混凝处理法）+臭氧消毒</w:t>
            </w:r>
            <w:r>
              <w:rPr>
                <w:rFonts w:hint="eastAsia"/>
                <w:kern w:val="0"/>
              </w:rPr>
              <w:t>）处理达标后，</w:t>
            </w:r>
            <w:r>
              <w:t>通过</w:t>
            </w:r>
            <w:r>
              <w:rPr>
                <w:rFonts w:hint="eastAsia"/>
              </w:rPr>
              <w:t>园区</w:t>
            </w:r>
            <w:r>
              <w:t>管网排至</w:t>
            </w:r>
            <w:r>
              <w:rPr>
                <w:rFonts w:hint="eastAsia"/>
                <w:lang w:val="zh-CN"/>
              </w:rPr>
              <w:t>茂名高新技术产业开发区污水处理厂</w:t>
            </w:r>
          </w:p>
        </w:tc>
        <w:tc>
          <w:tcPr>
            <w:tcW w:w="2605" w:type="dxa"/>
            <w:vAlign w:val="center"/>
          </w:tcPr>
          <w:p>
            <w:pPr>
              <w:ind w:firstLine="0" w:firstLineChars="0"/>
              <w:jc w:val="center"/>
              <w:rPr>
                <w:kern w:val="0"/>
              </w:rPr>
            </w:pPr>
            <w:r>
              <w:rPr>
                <w:rFonts w:hint="eastAsia"/>
                <w:kern w:val="0"/>
              </w:rPr>
              <w:t>《医疗机构水污染物排放标准》（GB18466-2005）表2预处理排放标准和</w:t>
            </w:r>
            <w:r>
              <w:rPr>
                <w:rFonts w:hint="eastAsia"/>
                <w:lang w:val="zh-CN"/>
              </w:rPr>
              <w:t>茂名高新技术产业开发区污水处理厂</w:t>
            </w:r>
            <w:r>
              <w:rPr>
                <w:rFonts w:hint="eastAsia"/>
                <w:kern w:val="0"/>
              </w:rPr>
              <w:t>进水指标较严者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2" w:type="dxa"/>
            <w:vAlign w:val="center"/>
          </w:tcPr>
          <w:p>
            <w:pPr>
              <w:ind w:firstLine="0" w:firstLineChars="0"/>
              <w:jc w:val="center"/>
              <w:rPr>
                <w:rFonts w:ascii="宋体" w:hAnsi="宋体" w:cs="宋体"/>
                <w:szCs w:val="21"/>
              </w:rPr>
            </w:pPr>
            <w:r>
              <w:rPr>
                <w:rFonts w:hint="eastAsia" w:ascii="宋体" w:hAnsi="宋体" w:cs="宋体"/>
                <w:szCs w:val="21"/>
              </w:rPr>
              <w:t>声环境</w:t>
            </w:r>
          </w:p>
        </w:tc>
        <w:tc>
          <w:tcPr>
            <w:tcW w:w="1837" w:type="dxa"/>
            <w:vAlign w:val="center"/>
          </w:tcPr>
          <w:p>
            <w:pPr>
              <w:ind w:firstLine="0" w:firstLineChars="0"/>
              <w:jc w:val="center"/>
              <w:rPr>
                <w:rFonts w:ascii="宋体" w:hAnsi="宋体" w:cs="宋体"/>
                <w:szCs w:val="21"/>
              </w:rPr>
            </w:pPr>
            <w:r>
              <w:rPr>
                <w:rFonts w:hint="eastAsia" w:ascii="宋体" w:hAnsi="宋体" w:cs="宋体"/>
                <w:szCs w:val="21"/>
              </w:rPr>
              <w:t>实验设备</w:t>
            </w:r>
          </w:p>
        </w:tc>
        <w:tc>
          <w:tcPr>
            <w:tcW w:w="1276" w:type="dxa"/>
            <w:vAlign w:val="center"/>
          </w:tcPr>
          <w:p>
            <w:pPr>
              <w:ind w:firstLine="0" w:firstLineChars="0"/>
              <w:jc w:val="center"/>
              <w:rPr>
                <w:rFonts w:ascii="宋体" w:hAnsi="宋体" w:cs="宋体"/>
                <w:szCs w:val="21"/>
              </w:rPr>
            </w:pPr>
            <w:r>
              <w:rPr>
                <w:rFonts w:hint="eastAsia" w:ascii="宋体" w:hAnsi="宋体" w:cs="宋体"/>
                <w:szCs w:val="21"/>
              </w:rPr>
              <w:t>噪声</w:t>
            </w:r>
          </w:p>
        </w:tc>
        <w:tc>
          <w:tcPr>
            <w:tcW w:w="1810" w:type="dxa"/>
            <w:vAlign w:val="center"/>
          </w:tcPr>
          <w:p>
            <w:pPr>
              <w:ind w:firstLine="0" w:firstLineChars="0"/>
              <w:jc w:val="center"/>
              <w:rPr>
                <w:rFonts w:ascii="宋体" w:hAnsi="宋体" w:cs="宋体"/>
                <w:szCs w:val="21"/>
              </w:rPr>
            </w:pPr>
            <w:r>
              <w:rPr>
                <w:rFonts w:hint="eastAsia"/>
              </w:rPr>
              <w:t>采取</w:t>
            </w:r>
            <w:r>
              <w:t>减</w:t>
            </w:r>
            <w:r>
              <w:rPr>
                <w:rFonts w:hint="eastAsia"/>
              </w:rPr>
              <w:t>振、墙体隔音等措施</w:t>
            </w:r>
          </w:p>
        </w:tc>
        <w:tc>
          <w:tcPr>
            <w:tcW w:w="2605" w:type="dxa"/>
            <w:vAlign w:val="center"/>
          </w:tcPr>
          <w:p>
            <w:pPr>
              <w:ind w:firstLine="0" w:firstLineChars="0"/>
              <w:jc w:val="center"/>
              <w:rPr>
                <w:szCs w:val="21"/>
              </w:rPr>
            </w:pPr>
            <w:r>
              <w:rPr>
                <w:szCs w:val="21"/>
              </w:rPr>
              <w:t>《工业企业厂界环境噪声排放标准》</w:t>
            </w:r>
          </w:p>
          <w:p>
            <w:pPr>
              <w:ind w:firstLine="0" w:firstLineChars="0"/>
              <w:jc w:val="center"/>
              <w:rPr>
                <w:szCs w:val="21"/>
              </w:rPr>
            </w:pPr>
            <w:r>
              <w:rPr>
                <w:szCs w:val="21"/>
              </w:rPr>
              <w:t>（GB12348-2008）中3类标准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2" w:type="dxa"/>
            <w:vAlign w:val="center"/>
          </w:tcPr>
          <w:p>
            <w:pPr>
              <w:ind w:firstLine="0" w:firstLineChars="0"/>
              <w:jc w:val="center"/>
              <w:rPr>
                <w:rFonts w:ascii="宋体" w:hAnsi="宋体" w:cs="宋体"/>
                <w:szCs w:val="21"/>
              </w:rPr>
            </w:pPr>
            <w:r>
              <w:rPr>
                <w:rFonts w:hint="eastAsia" w:ascii="宋体" w:hAnsi="宋体" w:cs="宋体"/>
                <w:szCs w:val="21"/>
              </w:rPr>
              <w:t>电磁辐射</w:t>
            </w:r>
          </w:p>
        </w:tc>
        <w:tc>
          <w:tcPr>
            <w:tcW w:w="1837" w:type="dxa"/>
            <w:vAlign w:val="center"/>
          </w:tcPr>
          <w:p>
            <w:pPr>
              <w:ind w:firstLine="0" w:firstLineChars="0"/>
              <w:jc w:val="center"/>
              <w:rPr>
                <w:rFonts w:ascii="宋体" w:hAnsi="宋体" w:cs="宋体"/>
                <w:szCs w:val="21"/>
              </w:rPr>
            </w:pPr>
            <w:r>
              <w:rPr>
                <w:rFonts w:hint="eastAsia" w:ascii="宋体" w:hAnsi="宋体" w:cs="宋体"/>
                <w:szCs w:val="21"/>
              </w:rPr>
              <w:t>/</w:t>
            </w:r>
          </w:p>
        </w:tc>
        <w:tc>
          <w:tcPr>
            <w:tcW w:w="1276" w:type="dxa"/>
            <w:vAlign w:val="center"/>
          </w:tcPr>
          <w:p>
            <w:pPr>
              <w:ind w:firstLine="0" w:firstLineChars="0"/>
              <w:jc w:val="center"/>
              <w:rPr>
                <w:rFonts w:ascii="宋体" w:hAnsi="宋体" w:cs="宋体"/>
                <w:szCs w:val="21"/>
              </w:rPr>
            </w:pPr>
            <w:r>
              <w:rPr>
                <w:rFonts w:hint="eastAsia" w:ascii="宋体" w:hAnsi="宋体" w:cs="宋体"/>
                <w:szCs w:val="21"/>
              </w:rPr>
              <w:t>/</w:t>
            </w:r>
          </w:p>
        </w:tc>
        <w:tc>
          <w:tcPr>
            <w:tcW w:w="1810" w:type="dxa"/>
            <w:vAlign w:val="center"/>
          </w:tcPr>
          <w:p>
            <w:pPr>
              <w:ind w:firstLine="0" w:firstLineChars="0"/>
              <w:jc w:val="center"/>
              <w:rPr>
                <w:rFonts w:ascii="宋体" w:hAnsi="宋体" w:cs="宋体"/>
                <w:szCs w:val="21"/>
              </w:rPr>
            </w:pPr>
            <w:r>
              <w:rPr>
                <w:rFonts w:hint="eastAsia" w:ascii="宋体" w:hAnsi="宋体" w:cs="宋体"/>
                <w:szCs w:val="21"/>
              </w:rPr>
              <w:t>/</w:t>
            </w:r>
          </w:p>
        </w:tc>
        <w:tc>
          <w:tcPr>
            <w:tcW w:w="2605" w:type="dxa"/>
            <w:vAlign w:val="center"/>
          </w:tcPr>
          <w:p>
            <w:pPr>
              <w:ind w:firstLine="0" w:firstLineChars="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2" w:type="dxa"/>
            <w:vAlign w:val="center"/>
          </w:tcPr>
          <w:p>
            <w:pPr>
              <w:ind w:firstLine="0" w:firstLineChars="0"/>
              <w:jc w:val="center"/>
              <w:rPr>
                <w:rFonts w:ascii="宋体" w:hAnsi="宋体" w:cs="宋体"/>
                <w:szCs w:val="21"/>
              </w:rPr>
            </w:pPr>
            <w:r>
              <w:rPr>
                <w:rFonts w:hint="eastAsia" w:ascii="宋体" w:hAnsi="宋体" w:cs="宋体"/>
                <w:szCs w:val="21"/>
              </w:rPr>
              <w:t>固体废物</w:t>
            </w:r>
          </w:p>
        </w:tc>
        <w:tc>
          <w:tcPr>
            <w:tcW w:w="7528" w:type="dxa"/>
            <w:gridSpan w:val="4"/>
            <w:vAlign w:val="center"/>
          </w:tcPr>
          <w:p>
            <w:pPr>
              <w:pStyle w:val="66"/>
              <w:rPr>
                <w:rFonts w:ascii="宋体" w:hAnsi="宋体" w:cs="宋体"/>
              </w:rPr>
            </w:pPr>
            <w:r>
              <w:rPr>
                <w:rFonts w:hint="eastAsia"/>
                <w:sz w:val="24"/>
                <w:szCs w:val="24"/>
              </w:rPr>
              <w:t>生活垃圾收集后交由环卫部门清运处理；废包装材料收集后交由资源回收单位处理；废渗透膜由纯水系统安装公司负责上门更换并回收；废弃一次性实验用品、废试剂盒、废样本及检测废液、废弃防护服、废过滤器、废试剂瓶、污泥、生化及免疫实验加样针清洗废液、</w:t>
            </w:r>
            <w:r>
              <w:rPr>
                <w:rFonts w:hint="eastAsia"/>
                <w:sz w:val="24"/>
                <w:szCs w:val="24"/>
                <w:lang w:eastAsia="zh-CN"/>
              </w:rPr>
              <w:t>仪器清洗废液、</w:t>
            </w:r>
            <w:r>
              <w:rPr>
                <w:rFonts w:hint="eastAsia"/>
                <w:sz w:val="24"/>
                <w:szCs w:val="24"/>
              </w:rPr>
              <w:t>废紫外线灯管集后暂存于</w:t>
            </w:r>
            <w:r>
              <w:rPr>
                <w:sz w:val="24"/>
                <w:szCs w:val="24"/>
              </w:rPr>
              <w:t>17</w:t>
            </w:r>
            <w:r>
              <w:rPr>
                <w:rFonts w:hint="eastAsia"/>
                <w:sz w:val="24"/>
                <w:szCs w:val="24"/>
              </w:rPr>
              <w:t>m</w:t>
            </w:r>
            <w:r>
              <w:rPr>
                <w:rFonts w:hint="eastAsia"/>
                <w:sz w:val="24"/>
                <w:szCs w:val="24"/>
                <w:vertAlign w:val="superscript"/>
              </w:rPr>
              <w:t>2</w:t>
            </w:r>
            <w:r>
              <w:rPr>
                <w:rFonts w:hint="eastAsia"/>
                <w:sz w:val="24"/>
                <w:szCs w:val="24"/>
              </w:rPr>
              <w:t>的危险废物暂存间，定期交有相关危险废物处理资质单位处理。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2" w:type="dxa"/>
            <w:vAlign w:val="center"/>
          </w:tcPr>
          <w:p>
            <w:pPr>
              <w:ind w:firstLine="0" w:firstLineChars="0"/>
              <w:jc w:val="center"/>
              <w:rPr>
                <w:rFonts w:ascii="宋体" w:hAnsi="宋体" w:cs="宋体"/>
                <w:szCs w:val="21"/>
              </w:rPr>
            </w:pPr>
            <w:r>
              <w:rPr>
                <w:rFonts w:hint="eastAsia" w:ascii="宋体" w:hAnsi="宋体" w:cs="宋体"/>
                <w:szCs w:val="21"/>
              </w:rPr>
              <w:t>土壤及地下水污染防治措施</w:t>
            </w:r>
          </w:p>
        </w:tc>
        <w:tc>
          <w:tcPr>
            <w:tcW w:w="7528" w:type="dxa"/>
            <w:gridSpan w:val="4"/>
            <w:vAlign w:val="center"/>
          </w:tcPr>
          <w:p>
            <w:pPr>
              <w:ind w:firstLine="0" w:firstLineChars="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2" w:type="dxa"/>
            <w:vAlign w:val="center"/>
          </w:tcPr>
          <w:p>
            <w:pPr>
              <w:ind w:firstLine="0" w:firstLineChars="0"/>
              <w:jc w:val="center"/>
              <w:rPr>
                <w:rFonts w:ascii="宋体" w:hAnsi="宋体" w:cs="宋体"/>
                <w:szCs w:val="21"/>
              </w:rPr>
            </w:pPr>
            <w:r>
              <w:rPr>
                <w:rFonts w:hint="eastAsia" w:ascii="宋体" w:hAnsi="宋体" w:cs="宋体"/>
                <w:szCs w:val="21"/>
              </w:rPr>
              <w:t>生态保护措施</w:t>
            </w:r>
          </w:p>
        </w:tc>
        <w:tc>
          <w:tcPr>
            <w:tcW w:w="7528" w:type="dxa"/>
            <w:gridSpan w:val="4"/>
            <w:vAlign w:val="center"/>
          </w:tcPr>
          <w:p>
            <w:pPr>
              <w:ind w:firstLine="0" w:firstLineChars="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2" w:type="dxa"/>
            <w:vAlign w:val="center"/>
          </w:tcPr>
          <w:p>
            <w:pPr>
              <w:ind w:firstLine="0" w:firstLineChars="0"/>
              <w:jc w:val="center"/>
            </w:pPr>
            <w:r>
              <w:rPr>
                <w:rFonts w:hint="eastAsia"/>
              </w:rPr>
              <w:t>环境风险防范措施</w:t>
            </w:r>
          </w:p>
        </w:tc>
        <w:tc>
          <w:tcPr>
            <w:tcW w:w="7528" w:type="dxa"/>
            <w:gridSpan w:val="4"/>
            <w:vAlign w:val="center"/>
          </w:tcPr>
          <w:p>
            <w:pPr>
              <w:ind w:firstLine="0" w:firstLineChars="0"/>
              <w:jc w:val="left"/>
            </w:pPr>
            <w:r>
              <w:t>1、</w:t>
            </w:r>
            <w:r>
              <w:rPr>
                <w:rFonts w:hint="eastAsia"/>
              </w:rPr>
              <w:t>化学品泄漏</w:t>
            </w:r>
            <w:r>
              <w:t>火灾事故防范措施</w:t>
            </w:r>
          </w:p>
          <w:p>
            <w:pPr>
              <w:ind w:firstLine="0" w:firstLineChars="0"/>
              <w:jc w:val="left"/>
            </w:pPr>
            <w:r>
              <w:t>定期对储放设施以及消防进行检查、维护，生产过程中必须按照相关的操作规范和方法进行，加强仪器设备和试剂管理。</w:t>
            </w:r>
          </w:p>
          <w:p>
            <w:pPr>
              <w:ind w:firstLine="0" w:firstLineChars="0"/>
              <w:jc w:val="left"/>
            </w:pPr>
            <w:r>
              <w:t>2、危险废物贮存风险防范措施</w:t>
            </w:r>
          </w:p>
          <w:p>
            <w:pPr>
              <w:ind w:firstLine="0" w:firstLineChars="0"/>
              <w:jc w:val="left"/>
            </w:pPr>
            <w:r>
              <w:t>建立危险废物安全管理制度。加强危险废物的运输、贮存过程的管理，规范操作和使用规范，贮存点应做好防雨、防渗漏措施，定期交有资质单位处置。</w:t>
            </w:r>
          </w:p>
          <w:p>
            <w:pPr>
              <w:ind w:firstLine="0" w:firstLineChars="0"/>
              <w:jc w:val="left"/>
            </w:pPr>
            <w:r>
              <w:t>3、泄漏、火灾事故防范措施</w:t>
            </w:r>
          </w:p>
          <w:p>
            <w:pPr>
              <w:ind w:firstLine="0" w:firstLineChars="0"/>
              <w:jc w:val="left"/>
            </w:pPr>
            <w:r>
              <w:t>建立公司</w:t>
            </w:r>
            <w:r>
              <w:rPr>
                <w:rFonts w:hint="eastAsia"/>
              </w:rPr>
              <w:t>检测</w:t>
            </w:r>
            <w:r>
              <w:t>试剂登记制度，定期登记汇总的危险化学品种类和数量存档；禁止明火等一切安全隐患的存在。对员工进行日常风险教育和培训，提高安全防范知识的宣传力度，增加实验人员的安全意</w:t>
            </w:r>
            <w:r>
              <w:rPr>
                <w:rFonts w:hint="eastAsia"/>
              </w:rPr>
              <w:t>识。</w:t>
            </w:r>
          </w:p>
          <w:p>
            <w:pPr>
              <w:ind w:firstLine="0" w:firstLineChars="0"/>
              <w:jc w:val="left"/>
            </w:pPr>
            <w:r>
              <w:rPr>
                <w:rFonts w:hint="eastAsia"/>
              </w:rPr>
              <w:t>4、废水处理系统故障风险防范措施</w:t>
            </w:r>
          </w:p>
          <w:p>
            <w:pPr>
              <w:pStyle w:val="15"/>
              <w:spacing w:line="360" w:lineRule="auto"/>
              <w:rPr>
                <w:sz w:val="24"/>
                <w:lang w:val="en-US" w:eastAsia="zh-CN"/>
              </w:rPr>
            </w:pPr>
            <w:r>
              <w:rPr>
                <w:rFonts w:hint="eastAsia"/>
                <w:sz w:val="24"/>
                <w:lang w:val="en-US" w:eastAsia="zh-CN"/>
              </w:rPr>
              <w:t>建议建设单位安排专人每天定期检查设备运行情况，若出现故障，应立即检查废水处理装置发生的问题并维修，应尽快将问题妥善解决，避免大量未达标水质排入市政管网，对周边环境造成影响。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2" w:type="dxa"/>
            <w:vAlign w:val="center"/>
          </w:tcPr>
          <w:p>
            <w:pPr>
              <w:ind w:firstLine="0" w:firstLineChars="0"/>
              <w:jc w:val="center"/>
              <w:rPr>
                <w:rFonts w:ascii="宋体" w:hAnsi="宋体" w:cs="宋体"/>
                <w:spacing w:val="-8"/>
                <w:szCs w:val="21"/>
              </w:rPr>
            </w:pPr>
            <w:r>
              <w:rPr>
                <w:rFonts w:hint="eastAsia" w:ascii="宋体" w:hAnsi="宋体" w:cs="宋体"/>
                <w:spacing w:val="-8"/>
                <w:szCs w:val="21"/>
              </w:rPr>
              <w:t>其他环境管理要求</w:t>
            </w:r>
          </w:p>
        </w:tc>
        <w:tc>
          <w:tcPr>
            <w:tcW w:w="7528" w:type="dxa"/>
            <w:gridSpan w:val="4"/>
            <w:vAlign w:val="center"/>
          </w:tcPr>
          <w:p>
            <w:pPr>
              <w:ind w:firstLine="0" w:firstLineChars="0"/>
            </w:pPr>
            <w:r>
              <w:rPr>
                <w:rFonts w:hint="eastAsia"/>
              </w:rPr>
              <w:t>/</w:t>
            </w:r>
          </w:p>
        </w:tc>
      </w:tr>
    </w:tbl>
    <w:p>
      <w:pPr>
        <w:pStyle w:val="56"/>
      </w:pPr>
    </w:p>
    <w:p>
      <w:pPr>
        <w:ind w:firstLine="480"/>
        <w:rPr>
          <w:lang w:eastAsia="zh-CN"/>
        </w:rPr>
        <w:sectPr>
          <w:pgSz w:w="11906" w:h="16838"/>
          <w:pgMar w:top="1440" w:right="1800" w:bottom="1440" w:left="1800" w:header="851" w:footer="992" w:gutter="0"/>
          <w:cols w:space="720" w:num="1"/>
          <w:docGrid w:type="lines" w:linePitch="326" w:charSpace="0"/>
        </w:sectPr>
      </w:pPr>
    </w:p>
    <w:p>
      <w:pPr>
        <w:pStyle w:val="2"/>
        <w:spacing w:before="326" w:after="326"/>
        <w:rPr>
          <w:lang w:eastAsia="zh-CN"/>
        </w:rPr>
      </w:pPr>
      <w:bookmarkStart w:id="146" w:name="_Toc122338526"/>
      <w:r>
        <w:rPr>
          <w:rFonts w:hint="eastAsia"/>
          <w:lang w:eastAsia="zh-CN"/>
        </w:rPr>
        <w:t>结论</w:t>
      </w:r>
      <w:bookmarkEnd w:id="146"/>
    </w:p>
    <w:tbl>
      <w:tblPr>
        <w:tblStyle w:val="3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4" w:hRule="atLeast"/>
        </w:trPr>
        <w:tc>
          <w:tcPr>
            <w:tcW w:w="8296" w:type="dxa"/>
          </w:tcPr>
          <w:p>
            <w:pPr>
              <w:ind w:firstLine="480"/>
            </w:pPr>
            <w:r>
              <w:rPr>
                <w:rFonts w:hint="eastAsia"/>
              </w:rPr>
              <w:t>本项目建设符合“三线一单”管理及相关环保规划要求，项目按建设项目“三同时”制度要求，逐一落实本报告提出的污染治理措施，并在施工过程中加强环保设施管理，保证各项污染物达标排放，则项目对周围环境影响不明显。</w:t>
            </w:r>
          </w:p>
          <w:p>
            <w:pPr>
              <w:ind w:firstLine="480"/>
            </w:pPr>
            <w:r>
              <w:rPr>
                <w:rFonts w:hint="eastAsia"/>
              </w:rPr>
              <w:t>因此，</w:t>
            </w:r>
            <w:r>
              <w:rPr>
                <w:rFonts w:hint="eastAsia"/>
                <w:b/>
                <w:bCs/>
              </w:rPr>
              <w:t>从环境保护角度考虑，本项目的建设是合理、可行的</w:t>
            </w:r>
            <w:r>
              <w:rPr>
                <w:rFonts w:hint="eastAsia"/>
              </w:rPr>
              <w:t>。</w:t>
            </w:r>
          </w:p>
        </w:tc>
      </w:tr>
    </w:tbl>
    <w:p>
      <w:pPr>
        <w:pStyle w:val="56"/>
        <w:sectPr>
          <w:pgSz w:w="11906" w:h="16838"/>
          <w:pgMar w:top="1440" w:right="1800" w:bottom="1440" w:left="1800" w:header="851" w:footer="992" w:gutter="0"/>
          <w:cols w:space="720" w:num="1"/>
          <w:docGrid w:type="lines" w:linePitch="326" w:charSpace="0"/>
        </w:sectPr>
      </w:pPr>
    </w:p>
    <w:p>
      <w:pPr>
        <w:pStyle w:val="56"/>
        <w:rPr>
          <w:b/>
          <w:sz w:val="32"/>
          <w:lang w:eastAsia="zh-CN"/>
        </w:rPr>
      </w:pPr>
      <w:r>
        <w:rPr>
          <w:rFonts w:hint="eastAsia"/>
          <w:b/>
          <w:sz w:val="32"/>
          <w:lang w:eastAsia="zh-CN"/>
        </w:rPr>
        <w:t>建设项目污染物排放情况</w:t>
      </w:r>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2807"/>
        <w:gridCol w:w="1191"/>
        <w:gridCol w:w="1399"/>
        <w:gridCol w:w="1361"/>
        <w:gridCol w:w="1424"/>
        <w:gridCol w:w="1761"/>
        <w:gridCol w:w="1590"/>
        <w:gridCol w:w="11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tcBorders>
              <w:tl2br w:val="single" w:color="auto" w:sz="4" w:space="0"/>
            </w:tcBorders>
            <w:tcMar>
              <w:left w:w="28" w:type="dxa"/>
              <w:right w:w="28" w:type="dxa"/>
            </w:tcMar>
            <w:vAlign w:val="center"/>
          </w:tcPr>
          <w:p>
            <w:pPr>
              <w:pStyle w:val="66"/>
              <w:jc w:val="right"/>
              <w:rPr>
                <w:rFonts w:ascii="宋体" w:hAnsi="宋体" w:cs="宋体"/>
                <w:snapToGrid w:val="0"/>
                <w:spacing w:val="-6"/>
                <w:kern w:val="21"/>
                <w:sz w:val="22"/>
              </w:rPr>
            </w:pPr>
            <w:r>
              <w:rPr>
                <w:rFonts w:hint="eastAsia" w:ascii="宋体" w:hAnsi="宋体" w:cs="宋体"/>
                <w:snapToGrid w:val="0"/>
                <w:spacing w:val="-6"/>
                <w:kern w:val="21"/>
                <w:sz w:val="22"/>
              </w:rPr>
              <w:t>项目</w:t>
            </w:r>
          </w:p>
          <w:p>
            <w:pPr>
              <w:pStyle w:val="66"/>
              <w:jc w:val="left"/>
              <w:rPr>
                <w:rFonts w:ascii="宋体" w:hAnsi="宋体" w:cs="宋体"/>
                <w:snapToGrid w:val="0"/>
                <w:spacing w:val="-6"/>
                <w:kern w:val="21"/>
                <w:sz w:val="22"/>
              </w:rPr>
            </w:pPr>
            <w:r>
              <w:rPr>
                <w:rFonts w:hint="eastAsia" w:ascii="宋体" w:hAnsi="宋体" w:cs="宋体"/>
                <w:snapToGrid w:val="0"/>
                <w:spacing w:val="-6"/>
                <w:kern w:val="21"/>
                <w:sz w:val="22"/>
              </w:rPr>
              <w:t>分类</w:t>
            </w:r>
          </w:p>
        </w:tc>
        <w:tc>
          <w:tcPr>
            <w:tcW w:w="2807" w:type="dxa"/>
            <w:tcMar>
              <w:left w:w="28" w:type="dxa"/>
              <w:right w:w="28" w:type="dxa"/>
            </w:tcMar>
            <w:vAlign w:val="center"/>
          </w:tcPr>
          <w:p>
            <w:pPr>
              <w:pStyle w:val="66"/>
              <w:rPr>
                <w:rFonts w:ascii="宋体" w:hAnsi="宋体" w:cs="宋体"/>
                <w:snapToGrid w:val="0"/>
                <w:spacing w:val="-6"/>
                <w:kern w:val="21"/>
                <w:sz w:val="22"/>
              </w:rPr>
            </w:pPr>
            <w:r>
              <w:rPr>
                <w:rFonts w:hint="eastAsia" w:ascii="宋体" w:hAnsi="宋体" w:cs="宋体"/>
                <w:snapToGrid w:val="0"/>
                <w:spacing w:val="-6"/>
                <w:kern w:val="21"/>
                <w:sz w:val="22"/>
              </w:rPr>
              <w:t>污染物名称</w:t>
            </w:r>
          </w:p>
        </w:tc>
        <w:tc>
          <w:tcPr>
            <w:tcW w:w="1191" w:type="dxa"/>
            <w:tcMar>
              <w:left w:w="28" w:type="dxa"/>
              <w:right w:w="28" w:type="dxa"/>
            </w:tcMar>
            <w:vAlign w:val="center"/>
          </w:tcPr>
          <w:p>
            <w:pPr>
              <w:pStyle w:val="66"/>
              <w:rPr>
                <w:rFonts w:ascii="宋体" w:hAnsi="宋体"/>
                <w:snapToGrid w:val="0"/>
                <w:spacing w:val="-6"/>
                <w:kern w:val="21"/>
                <w:sz w:val="22"/>
              </w:rPr>
            </w:pPr>
            <w:r>
              <w:rPr>
                <w:rFonts w:ascii="宋体" w:hAnsi="宋体"/>
                <w:snapToGrid w:val="0"/>
                <w:spacing w:val="-6"/>
                <w:kern w:val="21"/>
                <w:sz w:val="22"/>
              </w:rPr>
              <w:t>现有工程</w:t>
            </w:r>
          </w:p>
          <w:p>
            <w:pPr>
              <w:pStyle w:val="66"/>
              <w:rPr>
                <w:rFonts w:ascii="宋体" w:hAnsi="宋体"/>
                <w:snapToGrid w:val="0"/>
                <w:spacing w:val="-6"/>
                <w:kern w:val="21"/>
                <w:sz w:val="22"/>
              </w:rPr>
            </w:pPr>
            <w:r>
              <w:rPr>
                <w:rFonts w:ascii="宋体" w:hAnsi="宋体"/>
                <w:snapToGrid w:val="0"/>
                <w:spacing w:val="-6"/>
                <w:kern w:val="21"/>
                <w:sz w:val="22"/>
              </w:rPr>
              <w:t>排放量</w:t>
            </w:r>
            <w:r>
              <w:rPr>
                <w:rFonts w:hint="eastAsia" w:ascii="宋体" w:hAnsi="宋体"/>
                <w:snapToGrid w:val="0"/>
                <w:spacing w:val="-6"/>
                <w:kern w:val="21"/>
                <w:sz w:val="22"/>
              </w:rPr>
              <w:t>t/a</w:t>
            </w:r>
            <w:r>
              <w:rPr>
                <w:rFonts w:ascii="宋体" w:hAnsi="宋体"/>
                <w:snapToGrid w:val="0"/>
                <w:spacing w:val="-6"/>
                <w:kern w:val="21"/>
                <w:sz w:val="22"/>
              </w:rPr>
              <w:t>（固</w:t>
            </w:r>
            <w:r>
              <w:rPr>
                <w:rFonts w:hint="eastAsia" w:ascii="宋体" w:hAnsi="宋体"/>
                <w:snapToGrid w:val="0"/>
                <w:spacing w:val="-6"/>
                <w:kern w:val="21"/>
                <w:sz w:val="22"/>
              </w:rPr>
              <w:t>体</w:t>
            </w:r>
            <w:r>
              <w:rPr>
                <w:rFonts w:ascii="宋体" w:hAnsi="宋体"/>
                <w:snapToGrid w:val="0"/>
                <w:spacing w:val="-6"/>
                <w:kern w:val="21"/>
                <w:sz w:val="22"/>
              </w:rPr>
              <w:t>废</w:t>
            </w:r>
            <w:r>
              <w:rPr>
                <w:rFonts w:hint="eastAsia" w:ascii="宋体" w:hAnsi="宋体"/>
                <w:snapToGrid w:val="0"/>
                <w:spacing w:val="-6"/>
                <w:kern w:val="21"/>
                <w:sz w:val="22"/>
              </w:rPr>
              <w:t>物</w:t>
            </w:r>
            <w:r>
              <w:rPr>
                <w:rFonts w:ascii="宋体" w:hAnsi="宋体"/>
                <w:snapToGrid w:val="0"/>
                <w:spacing w:val="-6"/>
                <w:kern w:val="21"/>
                <w:sz w:val="22"/>
              </w:rPr>
              <w:t>产生量）</w:t>
            </w:r>
            <w:r>
              <w:rPr>
                <w:rFonts w:ascii="宋体" w:hAnsi="宋体"/>
                <w:snapToGrid w:val="0"/>
                <w:spacing w:val="-6"/>
                <w:kern w:val="21"/>
                <w:sz w:val="22"/>
              </w:rPr>
              <w:fldChar w:fldCharType="begin"/>
            </w:r>
            <w:r>
              <w:rPr>
                <w:rFonts w:ascii="宋体" w:hAnsi="宋体"/>
                <w:snapToGrid w:val="0"/>
                <w:spacing w:val="-6"/>
                <w:kern w:val="21"/>
                <w:sz w:val="22"/>
              </w:rPr>
              <w:instrText xml:space="preserve"> = 1 \* GB3 \* MERGEFORMAT </w:instrText>
            </w:r>
            <w:r>
              <w:rPr>
                <w:rFonts w:ascii="宋体" w:hAnsi="宋体"/>
                <w:snapToGrid w:val="0"/>
                <w:spacing w:val="-6"/>
                <w:kern w:val="21"/>
                <w:sz w:val="22"/>
              </w:rPr>
              <w:fldChar w:fldCharType="separate"/>
            </w:r>
            <w:r>
              <w:rPr>
                <w:rFonts w:ascii="宋体" w:hAnsi="宋体" w:cs="宋体"/>
                <w:sz w:val="22"/>
              </w:rPr>
              <w:t>①</w:t>
            </w:r>
            <w:r>
              <w:rPr>
                <w:rFonts w:ascii="宋体" w:hAnsi="宋体"/>
                <w:snapToGrid w:val="0"/>
                <w:spacing w:val="-6"/>
                <w:kern w:val="21"/>
                <w:sz w:val="22"/>
              </w:rPr>
              <w:fldChar w:fldCharType="end"/>
            </w:r>
          </w:p>
        </w:tc>
        <w:tc>
          <w:tcPr>
            <w:tcW w:w="1399" w:type="dxa"/>
            <w:tcMar>
              <w:left w:w="28" w:type="dxa"/>
              <w:right w:w="28" w:type="dxa"/>
            </w:tcMar>
            <w:vAlign w:val="center"/>
          </w:tcPr>
          <w:p>
            <w:pPr>
              <w:pStyle w:val="66"/>
              <w:rPr>
                <w:rFonts w:ascii="宋体" w:hAnsi="宋体"/>
                <w:snapToGrid w:val="0"/>
                <w:spacing w:val="-6"/>
                <w:kern w:val="21"/>
                <w:sz w:val="22"/>
              </w:rPr>
            </w:pPr>
            <w:r>
              <w:rPr>
                <w:rFonts w:ascii="宋体" w:hAnsi="宋体"/>
                <w:snapToGrid w:val="0"/>
                <w:spacing w:val="-6"/>
                <w:kern w:val="21"/>
                <w:sz w:val="22"/>
              </w:rPr>
              <w:t>现有工程</w:t>
            </w:r>
          </w:p>
          <w:p>
            <w:pPr>
              <w:pStyle w:val="66"/>
              <w:rPr>
                <w:rFonts w:ascii="宋体" w:hAnsi="宋体"/>
                <w:snapToGrid w:val="0"/>
                <w:spacing w:val="-6"/>
                <w:kern w:val="21"/>
                <w:sz w:val="22"/>
              </w:rPr>
            </w:pPr>
            <w:r>
              <w:rPr>
                <w:rFonts w:ascii="宋体" w:hAnsi="宋体"/>
                <w:snapToGrid w:val="0"/>
                <w:spacing w:val="-6"/>
                <w:kern w:val="21"/>
                <w:sz w:val="22"/>
              </w:rPr>
              <w:t>许可排放量</w:t>
            </w:r>
            <w:r>
              <w:rPr>
                <w:rFonts w:hint="eastAsia" w:ascii="宋体" w:hAnsi="宋体"/>
                <w:snapToGrid w:val="0"/>
                <w:spacing w:val="-6"/>
                <w:kern w:val="21"/>
                <w:sz w:val="22"/>
              </w:rPr>
              <w:t>t/a</w:t>
            </w:r>
            <w:r>
              <w:rPr>
                <w:rFonts w:ascii="宋体" w:hAnsi="宋体"/>
                <w:snapToGrid w:val="0"/>
                <w:spacing w:val="-6"/>
                <w:kern w:val="21"/>
                <w:sz w:val="22"/>
              </w:rPr>
              <w:fldChar w:fldCharType="begin"/>
            </w:r>
            <w:r>
              <w:rPr>
                <w:rFonts w:ascii="宋体" w:hAnsi="宋体"/>
                <w:snapToGrid w:val="0"/>
                <w:spacing w:val="-6"/>
                <w:kern w:val="21"/>
                <w:sz w:val="22"/>
              </w:rPr>
              <w:instrText xml:space="preserve"> = 2 \* GB3 \* MERGEFORMAT </w:instrText>
            </w:r>
            <w:r>
              <w:rPr>
                <w:rFonts w:ascii="宋体" w:hAnsi="宋体"/>
                <w:snapToGrid w:val="0"/>
                <w:spacing w:val="-6"/>
                <w:kern w:val="21"/>
                <w:sz w:val="22"/>
              </w:rPr>
              <w:fldChar w:fldCharType="separate"/>
            </w:r>
            <w:r>
              <w:rPr>
                <w:rFonts w:ascii="宋体" w:hAnsi="宋体" w:cs="宋体"/>
                <w:snapToGrid w:val="0"/>
                <w:spacing w:val="-6"/>
                <w:kern w:val="21"/>
                <w:sz w:val="22"/>
              </w:rPr>
              <w:t>②</w:t>
            </w:r>
            <w:r>
              <w:rPr>
                <w:rFonts w:ascii="宋体" w:hAnsi="宋体"/>
                <w:snapToGrid w:val="0"/>
                <w:spacing w:val="-6"/>
                <w:kern w:val="21"/>
                <w:sz w:val="22"/>
              </w:rPr>
              <w:fldChar w:fldCharType="end"/>
            </w:r>
          </w:p>
        </w:tc>
        <w:tc>
          <w:tcPr>
            <w:tcW w:w="1361" w:type="dxa"/>
            <w:tcMar>
              <w:left w:w="28" w:type="dxa"/>
              <w:right w:w="28" w:type="dxa"/>
            </w:tcMar>
            <w:vAlign w:val="center"/>
          </w:tcPr>
          <w:p>
            <w:pPr>
              <w:pStyle w:val="66"/>
              <w:rPr>
                <w:rFonts w:ascii="宋体" w:hAnsi="宋体"/>
                <w:snapToGrid w:val="0"/>
                <w:spacing w:val="-6"/>
                <w:kern w:val="21"/>
                <w:sz w:val="22"/>
              </w:rPr>
            </w:pPr>
            <w:r>
              <w:rPr>
                <w:rFonts w:ascii="宋体" w:hAnsi="宋体"/>
                <w:snapToGrid w:val="0"/>
                <w:spacing w:val="-6"/>
                <w:kern w:val="21"/>
                <w:sz w:val="22"/>
              </w:rPr>
              <w:t>在建工程</w:t>
            </w:r>
          </w:p>
          <w:p>
            <w:pPr>
              <w:pStyle w:val="66"/>
              <w:rPr>
                <w:rFonts w:ascii="宋体" w:hAnsi="宋体"/>
                <w:snapToGrid w:val="0"/>
                <w:spacing w:val="-6"/>
                <w:kern w:val="21"/>
                <w:sz w:val="22"/>
              </w:rPr>
            </w:pPr>
            <w:r>
              <w:rPr>
                <w:rFonts w:ascii="宋体" w:hAnsi="宋体"/>
                <w:snapToGrid w:val="0"/>
                <w:spacing w:val="-6"/>
                <w:kern w:val="21"/>
                <w:sz w:val="22"/>
              </w:rPr>
              <w:t>排放量</w:t>
            </w:r>
            <w:r>
              <w:rPr>
                <w:rFonts w:hint="eastAsia" w:ascii="宋体" w:hAnsi="宋体"/>
                <w:snapToGrid w:val="0"/>
                <w:spacing w:val="-6"/>
                <w:kern w:val="21"/>
                <w:sz w:val="22"/>
              </w:rPr>
              <w:t>t/a</w:t>
            </w:r>
            <w:r>
              <w:rPr>
                <w:rFonts w:ascii="宋体" w:hAnsi="宋体"/>
                <w:snapToGrid w:val="0"/>
                <w:spacing w:val="-6"/>
                <w:kern w:val="21"/>
                <w:sz w:val="22"/>
              </w:rPr>
              <w:t>（固</w:t>
            </w:r>
            <w:r>
              <w:rPr>
                <w:rFonts w:hint="eastAsia" w:ascii="宋体" w:hAnsi="宋体"/>
                <w:snapToGrid w:val="0"/>
                <w:spacing w:val="-6"/>
                <w:kern w:val="21"/>
                <w:sz w:val="22"/>
              </w:rPr>
              <w:t>体</w:t>
            </w:r>
            <w:r>
              <w:rPr>
                <w:rFonts w:ascii="宋体" w:hAnsi="宋体"/>
                <w:snapToGrid w:val="0"/>
                <w:spacing w:val="-6"/>
                <w:kern w:val="21"/>
                <w:sz w:val="22"/>
              </w:rPr>
              <w:t>废</w:t>
            </w:r>
            <w:r>
              <w:rPr>
                <w:rFonts w:hint="eastAsia" w:ascii="宋体" w:hAnsi="宋体"/>
                <w:snapToGrid w:val="0"/>
                <w:spacing w:val="-6"/>
                <w:kern w:val="21"/>
                <w:sz w:val="22"/>
              </w:rPr>
              <w:t>物</w:t>
            </w:r>
            <w:r>
              <w:rPr>
                <w:rFonts w:ascii="宋体" w:hAnsi="宋体"/>
                <w:snapToGrid w:val="0"/>
                <w:spacing w:val="-6"/>
                <w:kern w:val="21"/>
                <w:sz w:val="22"/>
              </w:rPr>
              <w:t>产生量）</w:t>
            </w:r>
            <w:r>
              <w:rPr>
                <w:rFonts w:ascii="宋体" w:hAnsi="宋体"/>
                <w:snapToGrid w:val="0"/>
                <w:spacing w:val="-6"/>
                <w:kern w:val="21"/>
                <w:sz w:val="22"/>
              </w:rPr>
              <w:fldChar w:fldCharType="begin"/>
            </w:r>
            <w:r>
              <w:rPr>
                <w:rFonts w:ascii="宋体" w:hAnsi="宋体"/>
                <w:snapToGrid w:val="0"/>
                <w:spacing w:val="-6"/>
                <w:kern w:val="21"/>
                <w:sz w:val="22"/>
              </w:rPr>
              <w:instrText xml:space="preserve"> = 3 \* GB3 \* MERGEFORMAT </w:instrText>
            </w:r>
            <w:r>
              <w:rPr>
                <w:rFonts w:ascii="宋体" w:hAnsi="宋体"/>
                <w:snapToGrid w:val="0"/>
                <w:spacing w:val="-6"/>
                <w:kern w:val="21"/>
                <w:sz w:val="22"/>
              </w:rPr>
              <w:fldChar w:fldCharType="separate"/>
            </w:r>
            <w:r>
              <w:rPr>
                <w:rFonts w:ascii="宋体" w:hAnsi="宋体" w:cs="宋体"/>
                <w:sz w:val="22"/>
              </w:rPr>
              <w:t>③</w:t>
            </w:r>
            <w:r>
              <w:rPr>
                <w:rFonts w:ascii="宋体" w:hAnsi="宋体"/>
                <w:snapToGrid w:val="0"/>
                <w:spacing w:val="-6"/>
                <w:kern w:val="21"/>
                <w:sz w:val="22"/>
              </w:rPr>
              <w:fldChar w:fldCharType="end"/>
            </w:r>
          </w:p>
        </w:tc>
        <w:tc>
          <w:tcPr>
            <w:tcW w:w="1424" w:type="dxa"/>
            <w:tcMar>
              <w:left w:w="28" w:type="dxa"/>
              <w:right w:w="28" w:type="dxa"/>
            </w:tcMar>
            <w:vAlign w:val="center"/>
          </w:tcPr>
          <w:p>
            <w:pPr>
              <w:pStyle w:val="66"/>
              <w:rPr>
                <w:rFonts w:ascii="宋体" w:hAnsi="宋体"/>
                <w:snapToGrid w:val="0"/>
                <w:spacing w:val="-6"/>
                <w:kern w:val="21"/>
                <w:sz w:val="22"/>
              </w:rPr>
            </w:pPr>
            <w:r>
              <w:rPr>
                <w:rFonts w:ascii="宋体" w:hAnsi="宋体"/>
                <w:snapToGrid w:val="0"/>
                <w:spacing w:val="-6"/>
                <w:kern w:val="21"/>
                <w:sz w:val="22"/>
              </w:rPr>
              <w:t>本项目</w:t>
            </w:r>
          </w:p>
          <w:p>
            <w:pPr>
              <w:pStyle w:val="66"/>
              <w:rPr>
                <w:rFonts w:ascii="宋体" w:hAnsi="宋体"/>
                <w:snapToGrid w:val="0"/>
                <w:spacing w:val="-6"/>
                <w:kern w:val="21"/>
                <w:sz w:val="22"/>
              </w:rPr>
            </w:pPr>
            <w:r>
              <w:rPr>
                <w:rFonts w:ascii="宋体" w:hAnsi="宋体"/>
                <w:snapToGrid w:val="0"/>
                <w:spacing w:val="-6"/>
                <w:kern w:val="21"/>
                <w:sz w:val="22"/>
              </w:rPr>
              <w:t>排放量</w:t>
            </w:r>
            <w:r>
              <w:rPr>
                <w:rFonts w:hint="eastAsia" w:ascii="宋体" w:hAnsi="宋体"/>
                <w:snapToGrid w:val="0"/>
                <w:spacing w:val="-6"/>
                <w:kern w:val="21"/>
                <w:sz w:val="22"/>
              </w:rPr>
              <w:t>t/a</w:t>
            </w:r>
            <w:r>
              <w:rPr>
                <w:rFonts w:ascii="宋体" w:hAnsi="宋体"/>
                <w:snapToGrid w:val="0"/>
                <w:spacing w:val="-6"/>
                <w:kern w:val="21"/>
                <w:sz w:val="22"/>
              </w:rPr>
              <w:t>（固</w:t>
            </w:r>
            <w:r>
              <w:rPr>
                <w:rFonts w:hint="eastAsia" w:ascii="宋体" w:hAnsi="宋体"/>
                <w:snapToGrid w:val="0"/>
                <w:spacing w:val="-6"/>
                <w:kern w:val="21"/>
                <w:sz w:val="22"/>
              </w:rPr>
              <w:t>体</w:t>
            </w:r>
            <w:r>
              <w:rPr>
                <w:rFonts w:ascii="宋体" w:hAnsi="宋体"/>
                <w:snapToGrid w:val="0"/>
                <w:spacing w:val="-6"/>
                <w:kern w:val="21"/>
                <w:sz w:val="22"/>
              </w:rPr>
              <w:t>废</w:t>
            </w:r>
            <w:r>
              <w:rPr>
                <w:rFonts w:hint="eastAsia" w:ascii="宋体" w:hAnsi="宋体"/>
                <w:snapToGrid w:val="0"/>
                <w:spacing w:val="-6"/>
                <w:kern w:val="21"/>
                <w:sz w:val="22"/>
              </w:rPr>
              <w:t>物</w:t>
            </w:r>
            <w:r>
              <w:rPr>
                <w:rFonts w:ascii="宋体" w:hAnsi="宋体"/>
                <w:snapToGrid w:val="0"/>
                <w:spacing w:val="-6"/>
                <w:kern w:val="21"/>
                <w:sz w:val="22"/>
              </w:rPr>
              <w:t>产生量）</w:t>
            </w:r>
            <w:r>
              <w:rPr>
                <w:rFonts w:ascii="宋体" w:hAnsi="宋体"/>
                <w:snapToGrid w:val="0"/>
                <w:spacing w:val="-6"/>
                <w:kern w:val="21"/>
                <w:sz w:val="22"/>
              </w:rPr>
              <w:fldChar w:fldCharType="begin"/>
            </w:r>
            <w:r>
              <w:rPr>
                <w:rFonts w:ascii="宋体" w:hAnsi="宋体"/>
                <w:snapToGrid w:val="0"/>
                <w:spacing w:val="-6"/>
                <w:kern w:val="21"/>
                <w:sz w:val="22"/>
              </w:rPr>
              <w:instrText xml:space="preserve"> = 4 \* GB3 \* MERGEFORMAT </w:instrText>
            </w:r>
            <w:r>
              <w:rPr>
                <w:rFonts w:ascii="宋体" w:hAnsi="宋体"/>
                <w:snapToGrid w:val="0"/>
                <w:spacing w:val="-6"/>
                <w:kern w:val="21"/>
                <w:sz w:val="22"/>
              </w:rPr>
              <w:fldChar w:fldCharType="separate"/>
            </w:r>
            <w:r>
              <w:rPr>
                <w:rFonts w:ascii="宋体" w:hAnsi="宋体" w:cs="宋体"/>
                <w:sz w:val="22"/>
              </w:rPr>
              <w:t>④</w:t>
            </w:r>
            <w:r>
              <w:rPr>
                <w:rFonts w:ascii="宋体" w:hAnsi="宋体"/>
                <w:snapToGrid w:val="0"/>
                <w:spacing w:val="-6"/>
                <w:kern w:val="21"/>
                <w:sz w:val="22"/>
              </w:rPr>
              <w:fldChar w:fldCharType="end"/>
            </w:r>
          </w:p>
        </w:tc>
        <w:tc>
          <w:tcPr>
            <w:tcW w:w="1761" w:type="dxa"/>
            <w:tcMar>
              <w:left w:w="28" w:type="dxa"/>
              <w:right w:w="28" w:type="dxa"/>
            </w:tcMar>
            <w:vAlign w:val="center"/>
          </w:tcPr>
          <w:p>
            <w:pPr>
              <w:pStyle w:val="66"/>
              <w:rPr>
                <w:rFonts w:ascii="宋体" w:hAnsi="宋体"/>
                <w:snapToGrid w:val="0"/>
                <w:spacing w:val="-16"/>
                <w:kern w:val="21"/>
                <w:sz w:val="22"/>
              </w:rPr>
            </w:pPr>
            <w:r>
              <w:rPr>
                <w:rFonts w:ascii="宋体" w:hAnsi="宋体"/>
                <w:snapToGrid w:val="0"/>
                <w:spacing w:val="-16"/>
                <w:kern w:val="21"/>
                <w:sz w:val="22"/>
              </w:rPr>
              <w:t>以新带老削减量</w:t>
            </w:r>
            <w:r>
              <w:rPr>
                <w:rFonts w:hint="eastAsia" w:ascii="宋体" w:hAnsi="宋体"/>
                <w:snapToGrid w:val="0"/>
                <w:spacing w:val="-6"/>
                <w:kern w:val="21"/>
                <w:sz w:val="22"/>
              </w:rPr>
              <w:t>t/a</w:t>
            </w:r>
          </w:p>
          <w:p>
            <w:pPr>
              <w:pStyle w:val="66"/>
              <w:rPr>
                <w:rFonts w:ascii="宋体" w:hAnsi="宋体"/>
                <w:snapToGrid w:val="0"/>
                <w:spacing w:val="-16"/>
                <w:kern w:val="21"/>
                <w:sz w:val="22"/>
              </w:rPr>
            </w:pPr>
            <w:r>
              <w:rPr>
                <w:rFonts w:ascii="宋体" w:hAnsi="宋体"/>
                <w:snapToGrid w:val="0"/>
                <w:spacing w:val="-16"/>
                <w:kern w:val="21"/>
                <w:sz w:val="22"/>
              </w:rPr>
              <w:t>（新建项目不填）</w:t>
            </w:r>
            <w:r>
              <w:rPr>
                <w:rFonts w:ascii="宋体" w:hAnsi="宋体"/>
                <w:snapToGrid w:val="0"/>
                <w:spacing w:val="-16"/>
                <w:kern w:val="21"/>
                <w:sz w:val="22"/>
              </w:rPr>
              <w:fldChar w:fldCharType="begin"/>
            </w:r>
            <w:r>
              <w:rPr>
                <w:rFonts w:ascii="宋体" w:hAnsi="宋体"/>
                <w:snapToGrid w:val="0"/>
                <w:spacing w:val="-16"/>
                <w:kern w:val="21"/>
                <w:sz w:val="22"/>
              </w:rPr>
              <w:instrText xml:space="preserve"> = 5 \* GB3 \* MERGEFORMAT </w:instrText>
            </w:r>
            <w:r>
              <w:rPr>
                <w:rFonts w:ascii="宋体" w:hAnsi="宋体"/>
                <w:snapToGrid w:val="0"/>
                <w:spacing w:val="-16"/>
                <w:kern w:val="21"/>
                <w:sz w:val="22"/>
              </w:rPr>
              <w:fldChar w:fldCharType="separate"/>
            </w:r>
            <w:r>
              <w:rPr>
                <w:rFonts w:ascii="宋体" w:hAnsi="宋体" w:cs="宋体"/>
                <w:sz w:val="22"/>
              </w:rPr>
              <w:t>⑤</w:t>
            </w:r>
            <w:r>
              <w:rPr>
                <w:rFonts w:ascii="宋体" w:hAnsi="宋体"/>
                <w:snapToGrid w:val="0"/>
                <w:spacing w:val="-16"/>
                <w:kern w:val="21"/>
                <w:sz w:val="22"/>
              </w:rPr>
              <w:fldChar w:fldCharType="end"/>
            </w:r>
          </w:p>
        </w:tc>
        <w:tc>
          <w:tcPr>
            <w:tcW w:w="1590" w:type="dxa"/>
            <w:tcMar>
              <w:left w:w="28" w:type="dxa"/>
              <w:right w:w="28" w:type="dxa"/>
            </w:tcMar>
            <w:vAlign w:val="center"/>
          </w:tcPr>
          <w:p>
            <w:pPr>
              <w:pStyle w:val="66"/>
              <w:rPr>
                <w:rFonts w:ascii="宋体" w:hAnsi="宋体"/>
                <w:snapToGrid w:val="0"/>
                <w:spacing w:val="-16"/>
                <w:kern w:val="21"/>
                <w:sz w:val="22"/>
              </w:rPr>
            </w:pPr>
            <w:r>
              <w:rPr>
                <w:rFonts w:ascii="宋体" w:hAnsi="宋体"/>
                <w:snapToGrid w:val="0"/>
                <w:spacing w:val="-16"/>
                <w:kern w:val="21"/>
                <w:sz w:val="22"/>
              </w:rPr>
              <w:t>本项目建成后</w:t>
            </w:r>
          </w:p>
          <w:p>
            <w:pPr>
              <w:pStyle w:val="66"/>
              <w:rPr>
                <w:rFonts w:ascii="宋体" w:hAnsi="宋体"/>
                <w:snapToGrid w:val="0"/>
                <w:spacing w:val="-16"/>
                <w:kern w:val="21"/>
                <w:sz w:val="22"/>
              </w:rPr>
            </w:pPr>
            <w:r>
              <w:rPr>
                <w:rFonts w:hint="eastAsia" w:ascii="宋体" w:hAnsi="宋体"/>
                <w:snapToGrid w:val="0"/>
                <w:spacing w:val="-16"/>
                <w:kern w:val="21"/>
                <w:sz w:val="22"/>
              </w:rPr>
              <w:t>全厂</w:t>
            </w:r>
            <w:r>
              <w:rPr>
                <w:rFonts w:ascii="宋体" w:hAnsi="宋体"/>
                <w:snapToGrid w:val="0"/>
                <w:spacing w:val="-16"/>
                <w:kern w:val="21"/>
                <w:sz w:val="22"/>
              </w:rPr>
              <w:t>排放量</w:t>
            </w:r>
            <w:r>
              <w:rPr>
                <w:rFonts w:hint="eastAsia" w:ascii="宋体" w:hAnsi="宋体"/>
                <w:snapToGrid w:val="0"/>
                <w:spacing w:val="-6"/>
                <w:kern w:val="21"/>
                <w:sz w:val="22"/>
              </w:rPr>
              <w:t>t/a</w:t>
            </w:r>
            <w:r>
              <w:rPr>
                <w:rFonts w:ascii="宋体" w:hAnsi="宋体"/>
                <w:snapToGrid w:val="0"/>
                <w:spacing w:val="-16"/>
                <w:kern w:val="21"/>
                <w:sz w:val="22"/>
              </w:rPr>
              <w:t>（固</w:t>
            </w:r>
            <w:r>
              <w:rPr>
                <w:rFonts w:hint="eastAsia" w:ascii="宋体" w:hAnsi="宋体"/>
                <w:snapToGrid w:val="0"/>
                <w:spacing w:val="-16"/>
                <w:kern w:val="21"/>
                <w:sz w:val="22"/>
              </w:rPr>
              <w:t>体</w:t>
            </w:r>
            <w:r>
              <w:rPr>
                <w:rFonts w:ascii="宋体" w:hAnsi="宋体"/>
                <w:snapToGrid w:val="0"/>
                <w:spacing w:val="-16"/>
                <w:kern w:val="21"/>
                <w:sz w:val="22"/>
              </w:rPr>
              <w:t>废</w:t>
            </w:r>
            <w:r>
              <w:rPr>
                <w:rFonts w:hint="eastAsia" w:ascii="宋体" w:hAnsi="宋体"/>
                <w:snapToGrid w:val="0"/>
                <w:spacing w:val="-16"/>
                <w:kern w:val="21"/>
                <w:sz w:val="22"/>
              </w:rPr>
              <w:t>物</w:t>
            </w:r>
            <w:r>
              <w:rPr>
                <w:rFonts w:ascii="宋体" w:hAnsi="宋体"/>
                <w:snapToGrid w:val="0"/>
                <w:spacing w:val="-16"/>
                <w:kern w:val="21"/>
                <w:sz w:val="22"/>
              </w:rPr>
              <w:t>产生量）</w:t>
            </w:r>
            <w:r>
              <w:rPr>
                <w:rFonts w:ascii="宋体" w:hAnsi="宋体"/>
                <w:snapToGrid w:val="0"/>
                <w:spacing w:val="-16"/>
                <w:kern w:val="21"/>
                <w:sz w:val="22"/>
              </w:rPr>
              <w:fldChar w:fldCharType="begin"/>
            </w:r>
            <w:r>
              <w:rPr>
                <w:rFonts w:ascii="宋体" w:hAnsi="宋体"/>
                <w:snapToGrid w:val="0"/>
                <w:spacing w:val="-16"/>
                <w:kern w:val="21"/>
                <w:sz w:val="22"/>
              </w:rPr>
              <w:instrText xml:space="preserve"> = 6 \* GB3 \* MERGEFORMAT </w:instrText>
            </w:r>
            <w:r>
              <w:rPr>
                <w:rFonts w:ascii="宋体" w:hAnsi="宋体"/>
                <w:snapToGrid w:val="0"/>
                <w:spacing w:val="-16"/>
                <w:kern w:val="21"/>
                <w:sz w:val="22"/>
              </w:rPr>
              <w:fldChar w:fldCharType="separate"/>
            </w:r>
            <w:r>
              <w:rPr>
                <w:rFonts w:ascii="宋体" w:hAnsi="宋体" w:cs="宋体"/>
                <w:sz w:val="22"/>
              </w:rPr>
              <w:t>⑥</w:t>
            </w:r>
            <w:r>
              <w:rPr>
                <w:rFonts w:ascii="宋体" w:hAnsi="宋体"/>
                <w:snapToGrid w:val="0"/>
                <w:spacing w:val="-16"/>
                <w:kern w:val="21"/>
                <w:sz w:val="22"/>
              </w:rPr>
              <w:fldChar w:fldCharType="end"/>
            </w:r>
          </w:p>
        </w:tc>
        <w:tc>
          <w:tcPr>
            <w:tcW w:w="1195" w:type="dxa"/>
            <w:tcMar>
              <w:left w:w="28" w:type="dxa"/>
              <w:right w:w="28" w:type="dxa"/>
            </w:tcMar>
            <w:vAlign w:val="center"/>
          </w:tcPr>
          <w:p>
            <w:pPr>
              <w:pStyle w:val="66"/>
              <w:rPr>
                <w:rFonts w:ascii="宋体" w:hAnsi="宋体"/>
                <w:snapToGrid w:val="0"/>
                <w:spacing w:val="-6"/>
                <w:kern w:val="21"/>
                <w:sz w:val="22"/>
              </w:rPr>
            </w:pPr>
            <w:r>
              <w:rPr>
                <w:rFonts w:ascii="宋体" w:hAnsi="宋体"/>
                <w:snapToGrid w:val="0"/>
                <w:spacing w:val="-6"/>
                <w:kern w:val="21"/>
                <w:sz w:val="22"/>
              </w:rPr>
              <w:t>变化量</w:t>
            </w:r>
            <w:r>
              <w:rPr>
                <w:rFonts w:hint="eastAsia" w:ascii="宋体" w:hAnsi="宋体"/>
                <w:snapToGrid w:val="0"/>
                <w:spacing w:val="-6"/>
                <w:kern w:val="21"/>
                <w:sz w:val="22"/>
              </w:rPr>
              <w:t>t/a</w:t>
            </w:r>
          </w:p>
          <w:p>
            <w:pPr>
              <w:pStyle w:val="66"/>
              <w:rPr>
                <w:rFonts w:ascii="宋体" w:hAnsi="宋体"/>
                <w:snapToGrid w:val="0"/>
                <w:spacing w:val="-6"/>
                <w:kern w:val="21"/>
                <w:sz w:val="22"/>
              </w:rPr>
            </w:pPr>
            <w:r>
              <w:rPr>
                <w:rFonts w:ascii="宋体" w:hAnsi="宋体"/>
                <w:snapToGrid w:val="0"/>
                <w:spacing w:val="-6"/>
                <w:kern w:val="21"/>
                <w:sz w:val="22"/>
              </w:rPr>
              <w:fldChar w:fldCharType="begin"/>
            </w:r>
            <w:r>
              <w:rPr>
                <w:rFonts w:ascii="宋体" w:hAnsi="宋体"/>
                <w:snapToGrid w:val="0"/>
                <w:spacing w:val="-6"/>
                <w:kern w:val="21"/>
                <w:sz w:val="22"/>
              </w:rPr>
              <w:instrText xml:space="preserve"> = 7 \* GB3 \* MERGEFORMAT </w:instrText>
            </w:r>
            <w:r>
              <w:rPr>
                <w:rFonts w:ascii="宋体" w:hAnsi="宋体"/>
                <w:snapToGrid w:val="0"/>
                <w:spacing w:val="-6"/>
                <w:kern w:val="21"/>
                <w:sz w:val="22"/>
              </w:rPr>
              <w:fldChar w:fldCharType="separate"/>
            </w:r>
            <w:r>
              <w:rPr>
                <w:rFonts w:ascii="宋体" w:hAnsi="宋体" w:cs="宋体"/>
                <w:sz w:val="22"/>
              </w:rPr>
              <w:t>⑦</w:t>
            </w:r>
            <w:r>
              <w:rPr>
                <w:rFonts w:ascii="宋体" w:hAnsi="宋体"/>
                <w:snapToGrid w:val="0"/>
                <w:spacing w:val="-6"/>
                <w:kern w:val="21"/>
                <w:sz w:val="22"/>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restart"/>
            <w:vAlign w:val="center"/>
          </w:tcPr>
          <w:p>
            <w:pPr>
              <w:pStyle w:val="66"/>
              <w:rPr>
                <w:snapToGrid w:val="0"/>
                <w:kern w:val="21"/>
                <w:sz w:val="22"/>
              </w:rPr>
            </w:pPr>
            <w:r>
              <w:rPr>
                <w:snapToGrid w:val="0"/>
                <w:kern w:val="21"/>
                <w:sz w:val="22"/>
              </w:rPr>
              <w:t>废气</w:t>
            </w:r>
          </w:p>
        </w:tc>
        <w:tc>
          <w:tcPr>
            <w:tcW w:w="2807" w:type="dxa"/>
            <w:vAlign w:val="center"/>
          </w:tcPr>
          <w:p>
            <w:pPr>
              <w:pStyle w:val="66"/>
              <w:rPr>
                <w:snapToGrid w:val="0"/>
                <w:kern w:val="21"/>
                <w:sz w:val="22"/>
              </w:rPr>
            </w:pPr>
            <w:r>
              <w:rPr>
                <w:snapToGrid w:val="0"/>
                <w:kern w:val="21"/>
                <w:sz w:val="22"/>
              </w:rPr>
              <w:t>VOCs</w:t>
            </w:r>
          </w:p>
        </w:tc>
        <w:tc>
          <w:tcPr>
            <w:tcW w:w="1191" w:type="dxa"/>
            <w:vAlign w:val="center"/>
          </w:tcPr>
          <w:p>
            <w:pPr>
              <w:pStyle w:val="66"/>
              <w:spacing w:before="24" w:after="24"/>
              <w:rPr>
                <w:snapToGrid w:val="0"/>
                <w:kern w:val="21"/>
              </w:rPr>
            </w:pPr>
            <w:r>
              <w:rPr>
                <w:snapToGrid w:val="0"/>
                <w:kern w:val="21"/>
              </w:rPr>
              <w:t>0</w:t>
            </w:r>
          </w:p>
        </w:tc>
        <w:tc>
          <w:tcPr>
            <w:tcW w:w="1399" w:type="dxa"/>
            <w:vAlign w:val="center"/>
          </w:tcPr>
          <w:p>
            <w:pPr>
              <w:pStyle w:val="66"/>
              <w:rPr>
                <w:snapToGrid w:val="0"/>
                <w:kern w:val="21"/>
              </w:rPr>
            </w:pPr>
            <w:r>
              <w:rPr>
                <w:snapToGrid w:val="0"/>
                <w:kern w:val="21"/>
              </w:rPr>
              <w:t>0</w:t>
            </w:r>
          </w:p>
        </w:tc>
        <w:tc>
          <w:tcPr>
            <w:tcW w:w="1361" w:type="dxa"/>
            <w:vAlign w:val="center"/>
          </w:tcPr>
          <w:p>
            <w:pPr>
              <w:pStyle w:val="66"/>
              <w:rPr>
                <w:snapToGrid w:val="0"/>
                <w:kern w:val="21"/>
              </w:rPr>
            </w:pPr>
            <w:r>
              <w:rPr>
                <w:snapToGrid w:val="0"/>
                <w:kern w:val="21"/>
              </w:rPr>
              <w:t>0</w:t>
            </w:r>
          </w:p>
        </w:tc>
        <w:tc>
          <w:tcPr>
            <w:tcW w:w="1424" w:type="dxa"/>
            <w:vAlign w:val="center"/>
          </w:tcPr>
          <w:p>
            <w:pPr>
              <w:pStyle w:val="66"/>
            </w:pPr>
            <w:r>
              <w:t>72.886</w:t>
            </w:r>
            <w:r>
              <w:rPr>
                <w:rFonts w:hint="eastAsia"/>
              </w:rPr>
              <w:t>kg/a</w:t>
            </w:r>
          </w:p>
        </w:tc>
        <w:tc>
          <w:tcPr>
            <w:tcW w:w="1761" w:type="dxa"/>
            <w:vAlign w:val="center"/>
          </w:tcPr>
          <w:p>
            <w:pPr>
              <w:pStyle w:val="66"/>
            </w:pPr>
            <w:r>
              <w:t>0</w:t>
            </w:r>
          </w:p>
        </w:tc>
        <w:tc>
          <w:tcPr>
            <w:tcW w:w="1590" w:type="dxa"/>
            <w:vAlign w:val="center"/>
          </w:tcPr>
          <w:p>
            <w:pPr>
              <w:pStyle w:val="66"/>
            </w:pPr>
            <w:r>
              <w:t>72.886</w:t>
            </w:r>
            <w:r>
              <w:rPr>
                <w:rFonts w:hint="eastAsia"/>
              </w:rPr>
              <w:t>kg/a</w:t>
            </w:r>
          </w:p>
        </w:tc>
        <w:tc>
          <w:tcPr>
            <w:tcW w:w="1195" w:type="dxa"/>
            <w:vAlign w:val="center"/>
          </w:tcPr>
          <w:p>
            <w:pPr>
              <w:pStyle w:val="66"/>
            </w:pPr>
            <w:r>
              <w:t>+72.886</w:t>
            </w:r>
            <w:r>
              <w:rPr>
                <w:rFonts w:hint="eastAsia"/>
              </w:rPr>
              <w:t>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rPr>
                <w:snapToGrid w:val="0"/>
                <w:kern w:val="21"/>
                <w:sz w:val="22"/>
              </w:rPr>
            </w:pPr>
            <w:r>
              <w:rPr>
                <w:snapToGrid w:val="0"/>
                <w:kern w:val="21"/>
                <w:sz w:val="22"/>
              </w:rPr>
              <w:t>氨</w:t>
            </w:r>
          </w:p>
        </w:tc>
        <w:tc>
          <w:tcPr>
            <w:tcW w:w="1191" w:type="dxa"/>
            <w:vAlign w:val="center"/>
          </w:tcPr>
          <w:p>
            <w:pPr>
              <w:pStyle w:val="66"/>
              <w:spacing w:before="24" w:after="24"/>
              <w:rPr>
                <w:snapToGrid w:val="0"/>
                <w:kern w:val="21"/>
              </w:rPr>
            </w:pPr>
            <w:r>
              <w:rPr>
                <w:snapToGrid w:val="0"/>
                <w:kern w:val="21"/>
              </w:rPr>
              <w:t>0</w:t>
            </w:r>
          </w:p>
        </w:tc>
        <w:tc>
          <w:tcPr>
            <w:tcW w:w="1399" w:type="dxa"/>
            <w:vAlign w:val="center"/>
          </w:tcPr>
          <w:p>
            <w:pPr>
              <w:pStyle w:val="66"/>
              <w:rPr>
                <w:snapToGrid w:val="0"/>
                <w:kern w:val="21"/>
              </w:rPr>
            </w:pPr>
            <w:r>
              <w:rPr>
                <w:snapToGrid w:val="0"/>
                <w:kern w:val="21"/>
              </w:rPr>
              <w:t>0</w:t>
            </w:r>
          </w:p>
        </w:tc>
        <w:tc>
          <w:tcPr>
            <w:tcW w:w="1361" w:type="dxa"/>
            <w:vAlign w:val="center"/>
          </w:tcPr>
          <w:p>
            <w:pPr>
              <w:pStyle w:val="66"/>
              <w:rPr>
                <w:snapToGrid w:val="0"/>
                <w:kern w:val="21"/>
              </w:rPr>
            </w:pPr>
            <w:r>
              <w:rPr>
                <w:snapToGrid w:val="0"/>
                <w:kern w:val="21"/>
              </w:rPr>
              <w:t>0</w:t>
            </w:r>
          </w:p>
        </w:tc>
        <w:tc>
          <w:tcPr>
            <w:tcW w:w="1424" w:type="dxa"/>
            <w:vAlign w:val="center"/>
          </w:tcPr>
          <w:p>
            <w:pPr>
              <w:pStyle w:val="66"/>
            </w:pPr>
            <w:r>
              <w:rPr>
                <w:rFonts w:hint="eastAsia"/>
              </w:rPr>
              <w:t>0.</w:t>
            </w:r>
            <w:r>
              <w:t>112</w:t>
            </w:r>
            <w:r>
              <w:rPr>
                <w:rFonts w:hint="eastAsia"/>
                <w:lang w:eastAsia="zh-CN"/>
              </w:rPr>
              <w:t>kg/a</w:t>
            </w:r>
          </w:p>
        </w:tc>
        <w:tc>
          <w:tcPr>
            <w:tcW w:w="1761" w:type="dxa"/>
            <w:vAlign w:val="center"/>
          </w:tcPr>
          <w:p>
            <w:pPr>
              <w:pStyle w:val="66"/>
            </w:pPr>
            <w:r>
              <w:t>0</w:t>
            </w:r>
          </w:p>
        </w:tc>
        <w:tc>
          <w:tcPr>
            <w:tcW w:w="1590" w:type="dxa"/>
            <w:vAlign w:val="center"/>
          </w:tcPr>
          <w:p>
            <w:pPr>
              <w:pStyle w:val="66"/>
            </w:pPr>
            <w:r>
              <w:rPr>
                <w:rFonts w:hint="eastAsia"/>
              </w:rPr>
              <w:t>0.</w:t>
            </w:r>
            <w:r>
              <w:t>112</w:t>
            </w:r>
            <w:r>
              <w:rPr>
                <w:rFonts w:hint="eastAsia"/>
                <w:lang w:eastAsia="zh-CN"/>
              </w:rPr>
              <w:t>kg/a</w:t>
            </w:r>
          </w:p>
        </w:tc>
        <w:tc>
          <w:tcPr>
            <w:tcW w:w="1195" w:type="dxa"/>
            <w:vAlign w:val="center"/>
          </w:tcPr>
          <w:p>
            <w:pPr>
              <w:pStyle w:val="66"/>
            </w:pPr>
            <w:r>
              <w:t>+</w:t>
            </w:r>
            <w:r>
              <w:rPr>
                <w:rFonts w:hint="eastAsia"/>
              </w:rPr>
              <w:t>0.</w:t>
            </w:r>
            <w:r>
              <w:t>112</w:t>
            </w:r>
            <w:r>
              <w:rPr>
                <w:rFonts w:hint="eastAsia"/>
                <w:lang w:eastAsia="zh-CN"/>
              </w:rPr>
              <w:t>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rPr>
                <w:snapToGrid w:val="0"/>
                <w:kern w:val="21"/>
                <w:sz w:val="22"/>
              </w:rPr>
            </w:pPr>
            <w:r>
              <w:rPr>
                <w:snapToGrid w:val="0"/>
                <w:kern w:val="21"/>
                <w:sz w:val="22"/>
              </w:rPr>
              <w:t>硫化氢</w:t>
            </w:r>
          </w:p>
        </w:tc>
        <w:tc>
          <w:tcPr>
            <w:tcW w:w="1191" w:type="dxa"/>
            <w:vAlign w:val="center"/>
          </w:tcPr>
          <w:p>
            <w:pPr>
              <w:pStyle w:val="66"/>
              <w:spacing w:before="24" w:after="24"/>
              <w:rPr>
                <w:snapToGrid w:val="0"/>
                <w:kern w:val="21"/>
              </w:rPr>
            </w:pPr>
            <w:r>
              <w:rPr>
                <w:snapToGrid w:val="0"/>
                <w:kern w:val="21"/>
              </w:rPr>
              <w:t>0</w:t>
            </w:r>
          </w:p>
        </w:tc>
        <w:tc>
          <w:tcPr>
            <w:tcW w:w="1399" w:type="dxa"/>
            <w:vAlign w:val="center"/>
          </w:tcPr>
          <w:p>
            <w:pPr>
              <w:pStyle w:val="66"/>
              <w:rPr>
                <w:snapToGrid w:val="0"/>
                <w:kern w:val="21"/>
              </w:rPr>
            </w:pPr>
            <w:r>
              <w:rPr>
                <w:snapToGrid w:val="0"/>
                <w:kern w:val="21"/>
              </w:rPr>
              <w:t>0</w:t>
            </w:r>
          </w:p>
        </w:tc>
        <w:tc>
          <w:tcPr>
            <w:tcW w:w="1361" w:type="dxa"/>
            <w:vAlign w:val="center"/>
          </w:tcPr>
          <w:p>
            <w:pPr>
              <w:pStyle w:val="66"/>
              <w:rPr>
                <w:snapToGrid w:val="0"/>
                <w:kern w:val="21"/>
              </w:rPr>
            </w:pPr>
            <w:r>
              <w:rPr>
                <w:snapToGrid w:val="0"/>
                <w:kern w:val="21"/>
              </w:rPr>
              <w:t>0</w:t>
            </w:r>
          </w:p>
        </w:tc>
        <w:tc>
          <w:tcPr>
            <w:tcW w:w="1424" w:type="dxa"/>
            <w:vAlign w:val="center"/>
          </w:tcPr>
          <w:p>
            <w:pPr>
              <w:pStyle w:val="66"/>
            </w:pPr>
            <w:r>
              <w:t>4.32</w:t>
            </w:r>
            <w:r>
              <w:rPr>
                <w:rFonts w:hint="eastAsia"/>
                <w:lang w:eastAsia="zh-CN"/>
              </w:rPr>
              <w:t>×</w:t>
            </w:r>
            <w:r>
              <w:t>10</w:t>
            </w:r>
            <w:r>
              <w:rPr>
                <w:vertAlign w:val="superscript"/>
              </w:rPr>
              <w:t>-3</w:t>
            </w:r>
            <w:r>
              <w:rPr>
                <w:rFonts w:hint="eastAsia"/>
                <w:lang w:eastAsia="zh-CN"/>
              </w:rPr>
              <w:t>kg/a</w:t>
            </w:r>
          </w:p>
        </w:tc>
        <w:tc>
          <w:tcPr>
            <w:tcW w:w="1761" w:type="dxa"/>
            <w:vAlign w:val="center"/>
          </w:tcPr>
          <w:p>
            <w:pPr>
              <w:pStyle w:val="66"/>
            </w:pPr>
            <w:r>
              <w:t>0</w:t>
            </w:r>
          </w:p>
        </w:tc>
        <w:tc>
          <w:tcPr>
            <w:tcW w:w="1590" w:type="dxa"/>
            <w:vAlign w:val="center"/>
          </w:tcPr>
          <w:p>
            <w:pPr>
              <w:pStyle w:val="66"/>
            </w:pPr>
            <w:r>
              <w:t>4.32</w:t>
            </w:r>
            <w:r>
              <w:rPr>
                <w:rFonts w:hint="eastAsia"/>
                <w:lang w:eastAsia="zh-CN"/>
              </w:rPr>
              <w:t>×</w:t>
            </w:r>
            <w:r>
              <w:t>10</w:t>
            </w:r>
            <w:r>
              <w:rPr>
                <w:vertAlign w:val="superscript"/>
              </w:rPr>
              <w:t>-3</w:t>
            </w:r>
            <w:r>
              <w:rPr>
                <w:rFonts w:hint="eastAsia"/>
                <w:lang w:eastAsia="zh-CN"/>
              </w:rPr>
              <w:t>kg/a</w:t>
            </w:r>
          </w:p>
        </w:tc>
        <w:tc>
          <w:tcPr>
            <w:tcW w:w="1195" w:type="dxa"/>
            <w:vAlign w:val="center"/>
          </w:tcPr>
          <w:p>
            <w:pPr>
              <w:pStyle w:val="66"/>
            </w:pPr>
            <w:r>
              <w:t>+4.32</w:t>
            </w:r>
            <w:r>
              <w:rPr>
                <w:rFonts w:hint="eastAsia"/>
                <w:lang w:eastAsia="zh-CN"/>
              </w:rPr>
              <w:t>×</w:t>
            </w:r>
            <w:r>
              <w:t>10</w:t>
            </w:r>
            <w:r>
              <w:rPr>
                <w:vertAlign w:val="superscript"/>
              </w:rPr>
              <w:t>-3</w:t>
            </w:r>
            <w:r>
              <w:rPr>
                <w:rFonts w:hint="eastAsia"/>
                <w:lang w:eastAsia="zh-CN"/>
              </w:rPr>
              <w:t>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restart"/>
            <w:vAlign w:val="center"/>
          </w:tcPr>
          <w:p>
            <w:pPr>
              <w:pStyle w:val="66"/>
              <w:rPr>
                <w:snapToGrid w:val="0"/>
                <w:kern w:val="21"/>
                <w:sz w:val="22"/>
              </w:rPr>
            </w:pPr>
            <w:r>
              <w:rPr>
                <w:snapToGrid w:val="0"/>
                <w:kern w:val="21"/>
                <w:sz w:val="22"/>
              </w:rPr>
              <w:t>废水</w:t>
            </w:r>
          </w:p>
        </w:tc>
        <w:tc>
          <w:tcPr>
            <w:tcW w:w="2807" w:type="dxa"/>
            <w:vAlign w:val="center"/>
          </w:tcPr>
          <w:p>
            <w:pPr>
              <w:pStyle w:val="66"/>
              <w:rPr>
                <w:sz w:val="22"/>
              </w:rPr>
            </w:pPr>
            <w:r>
              <w:rPr>
                <w:sz w:val="22"/>
              </w:rPr>
              <w:t>COD</w:t>
            </w:r>
            <w:r>
              <w:rPr>
                <w:sz w:val="22"/>
                <w:vertAlign w:val="subscript"/>
              </w:rPr>
              <w:t>Cr</w:t>
            </w:r>
          </w:p>
        </w:tc>
        <w:tc>
          <w:tcPr>
            <w:tcW w:w="1191" w:type="dxa"/>
            <w:vAlign w:val="center"/>
          </w:tcPr>
          <w:p>
            <w:pPr>
              <w:pStyle w:val="66"/>
              <w:spacing w:before="24" w:after="24"/>
              <w:rPr>
                <w:snapToGrid w:val="0"/>
                <w:kern w:val="21"/>
              </w:rPr>
            </w:pPr>
            <w:r>
              <w:rPr>
                <w:snapToGrid w:val="0"/>
                <w:kern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pPr>
            <w:r>
              <w:rPr>
                <w:rFonts w:hint="eastAsia"/>
              </w:rPr>
              <w:t>0.12</w:t>
            </w:r>
            <w:r>
              <w:t>9</w:t>
            </w:r>
          </w:p>
        </w:tc>
        <w:tc>
          <w:tcPr>
            <w:tcW w:w="1761" w:type="dxa"/>
            <w:vAlign w:val="center"/>
          </w:tcPr>
          <w:p>
            <w:pPr>
              <w:pStyle w:val="66"/>
            </w:pPr>
            <w:r>
              <w:t>0</w:t>
            </w:r>
          </w:p>
        </w:tc>
        <w:tc>
          <w:tcPr>
            <w:tcW w:w="1590" w:type="dxa"/>
            <w:vAlign w:val="center"/>
          </w:tcPr>
          <w:p>
            <w:pPr>
              <w:pStyle w:val="66"/>
            </w:pPr>
            <w:r>
              <w:rPr>
                <w:rFonts w:hint="eastAsia"/>
              </w:rPr>
              <w:t>0.12</w:t>
            </w:r>
            <w:r>
              <w:t>9</w:t>
            </w:r>
          </w:p>
        </w:tc>
        <w:tc>
          <w:tcPr>
            <w:tcW w:w="1195" w:type="dxa"/>
            <w:vAlign w:val="center"/>
          </w:tcPr>
          <w:p>
            <w:pPr>
              <w:pStyle w:val="66"/>
            </w:pPr>
            <w:r>
              <w:t>+</w:t>
            </w:r>
            <w:r>
              <w:rPr>
                <w:rFonts w:hint="eastAsia"/>
              </w:rPr>
              <w:t>0.12</w:t>
            </w:r>
            <w: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rPr>
                <w:sz w:val="22"/>
              </w:rPr>
            </w:pPr>
            <w:r>
              <w:rPr>
                <w:sz w:val="22"/>
              </w:rPr>
              <w:t>NH</w:t>
            </w:r>
            <w:r>
              <w:rPr>
                <w:sz w:val="22"/>
                <w:vertAlign w:val="subscript"/>
              </w:rPr>
              <w:t>3</w:t>
            </w:r>
            <w:r>
              <w:rPr>
                <w:sz w:val="22"/>
              </w:rPr>
              <w:t>-N</w:t>
            </w:r>
          </w:p>
        </w:tc>
        <w:tc>
          <w:tcPr>
            <w:tcW w:w="1191" w:type="dxa"/>
            <w:vAlign w:val="center"/>
          </w:tcPr>
          <w:p>
            <w:pPr>
              <w:pStyle w:val="66"/>
              <w:spacing w:before="24" w:after="24"/>
              <w:rPr>
                <w:snapToGrid w:val="0"/>
                <w:kern w:val="21"/>
              </w:rPr>
            </w:pPr>
            <w:r>
              <w:rPr>
                <w:snapToGrid w:val="0"/>
                <w:kern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pPr>
            <w:r>
              <w:rPr>
                <w:rFonts w:hint="eastAsia"/>
              </w:rPr>
              <w:t>0.008</w:t>
            </w:r>
          </w:p>
        </w:tc>
        <w:tc>
          <w:tcPr>
            <w:tcW w:w="1761" w:type="dxa"/>
            <w:vAlign w:val="center"/>
          </w:tcPr>
          <w:p>
            <w:pPr>
              <w:pStyle w:val="66"/>
            </w:pPr>
            <w:r>
              <w:t>0</w:t>
            </w:r>
          </w:p>
        </w:tc>
        <w:tc>
          <w:tcPr>
            <w:tcW w:w="1590" w:type="dxa"/>
            <w:vAlign w:val="center"/>
          </w:tcPr>
          <w:p>
            <w:pPr>
              <w:pStyle w:val="66"/>
            </w:pPr>
            <w:r>
              <w:rPr>
                <w:rFonts w:hint="eastAsia"/>
              </w:rPr>
              <w:t>0.008</w:t>
            </w:r>
          </w:p>
        </w:tc>
        <w:tc>
          <w:tcPr>
            <w:tcW w:w="1195" w:type="dxa"/>
            <w:vAlign w:val="center"/>
          </w:tcPr>
          <w:p>
            <w:pPr>
              <w:pStyle w:val="66"/>
            </w:pPr>
            <w:r>
              <w:rPr>
                <w:lang w:eastAsia="zh-CN"/>
              </w:rPr>
              <w:t>+</w:t>
            </w:r>
            <w:r>
              <w:rPr>
                <w:rFonts w:hint="eastAsia"/>
              </w:rPr>
              <w:t>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rPr>
                <w:sz w:val="22"/>
              </w:rPr>
            </w:pPr>
            <w:r>
              <w:rPr>
                <w:rFonts w:hint="eastAsia"/>
                <w:sz w:val="22"/>
                <w:lang w:eastAsia="zh-CN"/>
              </w:rPr>
              <w:t>BOD</w:t>
            </w:r>
            <w:r>
              <w:rPr>
                <w:sz w:val="22"/>
                <w:vertAlign w:val="subscript"/>
              </w:rPr>
              <w:t>5</w:t>
            </w:r>
          </w:p>
        </w:tc>
        <w:tc>
          <w:tcPr>
            <w:tcW w:w="1191" w:type="dxa"/>
            <w:vAlign w:val="center"/>
          </w:tcPr>
          <w:p>
            <w:pPr>
              <w:pStyle w:val="66"/>
              <w:spacing w:before="24" w:after="24"/>
              <w:rPr>
                <w:snapToGrid w:val="0"/>
                <w:kern w:val="21"/>
              </w:rPr>
            </w:pPr>
            <w:r>
              <w:rPr>
                <w:snapToGrid w:val="0"/>
                <w:kern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pPr>
            <w:r>
              <w:rPr>
                <w:rFonts w:hint="eastAsia"/>
                <w:lang w:eastAsia="zh-CN"/>
              </w:rPr>
              <w:t>0</w:t>
            </w:r>
            <w:r>
              <w:rPr>
                <w:lang w:eastAsia="zh-CN"/>
              </w:rPr>
              <w:t>.054</w:t>
            </w:r>
          </w:p>
        </w:tc>
        <w:tc>
          <w:tcPr>
            <w:tcW w:w="1761" w:type="dxa"/>
            <w:vAlign w:val="center"/>
          </w:tcPr>
          <w:p>
            <w:pPr>
              <w:pStyle w:val="66"/>
            </w:pPr>
            <w:r>
              <w:t>0</w:t>
            </w:r>
          </w:p>
        </w:tc>
        <w:tc>
          <w:tcPr>
            <w:tcW w:w="1590" w:type="dxa"/>
            <w:vAlign w:val="center"/>
          </w:tcPr>
          <w:p>
            <w:pPr>
              <w:pStyle w:val="66"/>
            </w:pPr>
            <w:r>
              <w:rPr>
                <w:rFonts w:hint="eastAsia"/>
                <w:lang w:eastAsia="zh-CN"/>
              </w:rPr>
              <w:t>0</w:t>
            </w:r>
            <w:r>
              <w:rPr>
                <w:lang w:eastAsia="zh-CN"/>
              </w:rPr>
              <w:t>.054</w:t>
            </w:r>
          </w:p>
        </w:tc>
        <w:tc>
          <w:tcPr>
            <w:tcW w:w="1195" w:type="dxa"/>
            <w:vAlign w:val="center"/>
          </w:tcPr>
          <w:p>
            <w:pPr>
              <w:pStyle w:val="66"/>
            </w:pPr>
            <w:r>
              <w:rPr>
                <w:lang w:eastAsia="zh-CN"/>
              </w:rPr>
              <w:t>+</w:t>
            </w:r>
            <w:r>
              <w:rPr>
                <w:rFonts w:hint="eastAsia"/>
                <w:lang w:eastAsia="zh-CN"/>
              </w:rPr>
              <w:t>0</w:t>
            </w:r>
            <w:r>
              <w:rPr>
                <w:lang w:eastAsia="zh-CN"/>
              </w:rPr>
              <w:t>.054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restart"/>
            <w:vAlign w:val="center"/>
          </w:tcPr>
          <w:p>
            <w:pPr>
              <w:pStyle w:val="66"/>
              <w:rPr>
                <w:snapToGrid w:val="0"/>
                <w:kern w:val="21"/>
                <w:sz w:val="22"/>
              </w:rPr>
            </w:pPr>
            <w:r>
              <w:rPr>
                <w:snapToGrid w:val="0"/>
                <w:kern w:val="21"/>
                <w:sz w:val="22"/>
              </w:rPr>
              <w:t>一般工业</w:t>
            </w:r>
          </w:p>
          <w:p>
            <w:pPr>
              <w:pStyle w:val="66"/>
              <w:rPr>
                <w:snapToGrid w:val="0"/>
                <w:kern w:val="21"/>
                <w:sz w:val="22"/>
              </w:rPr>
            </w:pPr>
            <w:r>
              <w:rPr>
                <w:snapToGrid w:val="0"/>
                <w:kern w:val="21"/>
                <w:sz w:val="22"/>
              </w:rPr>
              <w:t>固体废物</w:t>
            </w:r>
          </w:p>
        </w:tc>
        <w:tc>
          <w:tcPr>
            <w:tcW w:w="2807" w:type="dxa"/>
            <w:vAlign w:val="center"/>
          </w:tcPr>
          <w:p>
            <w:pPr>
              <w:pStyle w:val="66"/>
              <w:spacing w:before="24" w:after="24"/>
              <w:rPr>
                <w:snapToGrid w:val="0"/>
                <w:kern w:val="21"/>
                <w:sz w:val="22"/>
              </w:rPr>
            </w:pPr>
            <w:r>
              <w:rPr>
                <w:snapToGrid w:val="0"/>
                <w:kern w:val="21"/>
                <w:sz w:val="22"/>
              </w:rPr>
              <w:t>生活垃圾</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t>2.74</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rPr>
                <w:snapToGrid w:val="0"/>
                <w:kern w:val="21"/>
              </w:rPr>
            </w:pPr>
            <w:r>
              <w:rPr>
                <w:rFonts w:hint="eastAsia"/>
              </w:rPr>
              <w:t>0.12</w:t>
            </w:r>
            <w:r>
              <w:t>9</w:t>
            </w:r>
          </w:p>
        </w:tc>
        <w:tc>
          <w:tcPr>
            <w:tcW w:w="1195" w:type="dxa"/>
            <w:vAlign w:val="center"/>
          </w:tcPr>
          <w:p>
            <w:pPr>
              <w:pStyle w:val="66"/>
              <w:rPr>
                <w:snapToGrid w:val="0"/>
                <w:kern w:val="21"/>
              </w:rPr>
            </w:pPr>
            <w:r>
              <w:t>+2.74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napToGrid w:val="0"/>
                <w:kern w:val="21"/>
                <w:sz w:val="22"/>
              </w:rPr>
            </w:pPr>
            <w:r>
              <w:rPr>
                <w:sz w:val="22"/>
              </w:rPr>
              <w:t>废包装材料</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t>1.2</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rPr>
                <w:snapToGrid w:val="0"/>
                <w:kern w:val="21"/>
              </w:rPr>
            </w:pPr>
            <w:r>
              <w:t>1.2</w:t>
            </w:r>
          </w:p>
        </w:tc>
        <w:tc>
          <w:tcPr>
            <w:tcW w:w="1195" w:type="dxa"/>
            <w:vAlign w:val="center"/>
          </w:tcPr>
          <w:p>
            <w:pPr>
              <w:pStyle w:val="66"/>
              <w:rPr>
                <w:snapToGrid w:val="0"/>
                <w:kern w:val="21"/>
              </w:rPr>
            </w:pPr>
            <w: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z w:val="22"/>
              </w:rPr>
            </w:pPr>
            <w:r>
              <w:rPr>
                <w:sz w:val="22"/>
              </w:rPr>
              <w:t>废渗透膜</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rPr>
                <w:snapToGrid w:val="0"/>
                <w:kern w:val="21"/>
              </w:rPr>
              <w:t>0.01</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rPr>
                <w:snapToGrid w:val="0"/>
                <w:kern w:val="21"/>
              </w:rPr>
            </w:pPr>
            <w:r>
              <w:rPr>
                <w:snapToGrid w:val="0"/>
                <w:kern w:val="21"/>
              </w:rPr>
              <w:t>0.01</w:t>
            </w:r>
          </w:p>
        </w:tc>
        <w:tc>
          <w:tcPr>
            <w:tcW w:w="1195" w:type="dxa"/>
            <w:vAlign w:val="center"/>
          </w:tcPr>
          <w:p>
            <w:pPr>
              <w:pStyle w:val="66"/>
              <w:rPr>
                <w:snapToGrid w:val="0"/>
                <w:kern w:val="21"/>
              </w:rPr>
            </w:pPr>
            <w:r>
              <w:rPr>
                <w:snapToGrid w:val="0"/>
                <w:kern w:val="21"/>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restart"/>
            <w:vAlign w:val="center"/>
          </w:tcPr>
          <w:p>
            <w:pPr>
              <w:pStyle w:val="66"/>
              <w:rPr>
                <w:snapToGrid w:val="0"/>
                <w:kern w:val="21"/>
                <w:sz w:val="22"/>
              </w:rPr>
            </w:pPr>
            <w:r>
              <w:rPr>
                <w:snapToGrid w:val="0"/>
                <w:kern w:val="21"/>
                <w:sz w:val="22"/>
              </w:rPr>
              <w:t>危险废物</w:t>
            </w:r>
          </w:p>
        </w:tc>
        <w:tc>
          <w:tcPr>
            <w:tcW w:w="2807" w:type="dxa"/>
            <w:vAlign w:val="center"/>
          </w:tcPr>
          <w:p>
            <w:pPr>
              <w:pStyle w:val="66"/>
              <w:spacing w:before="24" w:after="24"/>
              <w:rPr>
                <w:snapToGrid w:val="0"/>
                <w:kern w:val="21"/>
                <w:sz w:val="22"/>
              </w:rPr>
            </w:pPr>
            <w:r>
              <w:rPr>
                <w:sz w:val="22"/>
              </w:rPr>
              <w:t>废样本及检测废液</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t>13.6</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rPr>
                <w:snapToGrid w:val="0"/>
                <w:kern w:val="21"/>
              </w:rPr>
            </w:pPr>
            <w:r>
              <w:t>13.6</w:t>
            </w:r>
          </w:p>
        </w:tc>
        <w:tc>
          <w:tcPr>
            <w:tcW w:w="1195" w:type="dxa"/>
            <w:vAlign w:val="center"/>
          </w:tcPr>
          <w:p>
            <w:pPr>
              <w:pStyle w:val="66"/>
              <w:rPr>
                <w:snapToGrid w:val="0"/>
                <w:kern w:val="21"/>
              </w:rPr>
            </w:pPr>
            <w:r>
              <w:t>+13.6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z w:val="22"/>
              </w:rPr>
            </w:pPr>
            <w:r>
              <w:rPr>
                <w:sz w:val="22"/>
              </w:rPr>
              <w:t>生化及免疫实验加样针清洗废液</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rPr>
                <w:snapToGrid w:val="0"/>
                <w:kern w:val="21"/>
              </w:rPr>
              <w:t>2</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pPr>
            <w:r>
              <w:rPr>
                <w:snapToGrid w:val="0"/>
                <w:kern w:val="21"/>
              </w:rPr>
              <w:t>2</w:t>
            </w:r>
          </w:p>
        </w:tc>
        <w:tc>
          <w:tcPr>
            <w:tcW w:w="1195" w:type="dxa"/>
            <w:vAlign w:val="center"/>
          </w:tcPr>
          <w:p>
            <w:pPr>
              <w:pStyle w:val="66"/>
              <w:rPr>
                <w:snapToGrid w:val="0"/>
                <w:kern w:val="21"/>
              </w:rPr>
            </w:pPr>
            <w:r>
              <w:rPr>
                <w:snapToGrid w:val="0"/>
                <w:kern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napToGrid w:val="0"/>
                <w:kern w:val="21"/>
                <w:sz w:val="22"/>
              </w:rPr>
            </w:pPr>
            <w:r>
              <w:rPr>
                <w:sz w:val="22"/>
              </w:rPr>
              <w:t>废试剂盒</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rPr>
                <w:snapToGrid w:val="0"/>
                <w:kern w:val="21"/>
              </w:rPr>
              <w:t>10.3</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rPr>
                <w:snapToGrid w:val="0"/>
                <w:kern w:val="21"/>
              </w:rPr>
            </w:pPr>
            <w:r>
              <w:rPr>
                <w:snapToGrid w:val="0"/>
                <w:kern w:val="21"/>
              </w:rPr>
              <w:t>10.3</w:t>
            </w:r>
          </w:p>
        </w:tc>
        <w:tc>
          <w:tcPr>
            <w:tcW w:w="1195" w:type="dxa"/>
            <w:vAlign w:val="center"/>
          </w:tcPr>
          <w:p>
            <w:pPr>
              <w:pStyle w:val="66"/>
              <w:rPr>
                <w:snapToGrid w:val="0"/>
                <w:kern w:val="21"/>
              </w:rPr>
            </w:pPr>
            <w:r>
              <w:rPr>
                <w:snapToGrid w:val="0"/>
                <w:kern w:val="21"/>
              </w:rPr>
              <w:t>+10.3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z w:val="22"/>
              </w:rPr>
            </w:pPr>
            <w:r>
              <w:rPr>
                <w:sz w:val="22"/>
              </w:rPr>
              <w:t>废弃一次性实验用品</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t>1.46</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rPr>
                <w:snapToGrid w:val="0"/>
                <w:kern w:val="21"/>
              </w:rPr>
            </w:pPr>
            <w:r>
              <w:t>1.46</w:t>
            </w:r>
          </w:p>
        </w:tc>
        <w:tc>
          <w:tcPr>
            <w:tcW w:w="1195" w:type="dxa"/>
            <w:vAlign w:val="center"/>
          </w:tcPr>
          <w:p>
            <w:pPr>
              <w:pStyle w:val="66"/>
              <w:rPr>
                <w:snapToGrid w:val="0"/>
                <w:kern w:val="21"/>
              </w:rPr>
            </w:pPr>
            <w:r>
              <w:t>+1.46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z w:val="22"/>
              </w:rPr>
            </w:pPr>
            <w:r>
              <w:rPr>
                <w:sz w:val="22"/>
              </w:rPr>
              <w:t>废弃防护服</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t>1.6425</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rPr>
                <w:snapToGrid w:val="0"/>
                <w:kern w:val="21"/>
              </w:rPr>
            </w:pPr>
            <w:r>
              <w:t>1.6425</w:t>
            </w:r>
          </w:p>
        </w:tc>
        <w:tc>
          <w:tcPr>
            <w:tcW w:w="1195" w:type="dxa"/>
            <w:vAlign w:val="center"/>
          </w:tcPr>
          <w:p>
            <w:pPr>
              <w:pStyle w:val="66"/>
              <w:rPr>
                <w:snapToGrid w:val="0"/>
                <w:kern w:val="21"/>
              </w:rPr>
            </w:pPr>
            <w:r>
              <w:rPr>
                <w:snapToGrid w:val="0"/>
                <w:kern w:val="21"/>
              </w:rPr>
              <w:t>+</w:t>
            </w:r>
            <w:r>
              <w:t>1.6425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tcBorders>
              <w:bottom w:val="single" w:color="000000" w:sz="4" w:space="0"/>
            </w:tcBorders>
            <w:vAlign w:val="center"/>
          </w:tcPr>
          <w:p>
            <w:pPr>
              <w:pStyle w:val="66"/>
              <w:spacing w:before="24" w:after="24"/>
              <w:rPr>
                <w:sz w:val="22"/>
              </w:rPr>
            </w:pPr>
            <w:r>
              <w:rPr>
                <w:sz w:val="22"/>
              </w:rPr>
              <w:t>废过滤器</w:t>
            </w:r>
          </w:p>
        </w:tc>
        <w:tc>
          <w:tcPr>
            <w:tcW w:w="1191" w:type="dxa"/>
            <w:tcBorders>
              <w:bottom w:val="single" w:color="000000" w:sz="4" w:space="0"/>
            </w:tcBorders>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tcBorders>
              <w:bottom w:val="single" w:color="000000" w:sz="4" w:space="0"/>
            </w:tcBorders>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tcBorders>
              <w:bottom w:val="single" w:color="000000" w:sz="4" w:space="0"/>
            </w:tcBorders>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tcBorders>
              <w:bottom w:val="single" w:color="000000" w:sz="4" w:space="0"/>
            </w:tcBorders>
            <w:vAlign w:val="center"/>
          </w:tcPr>
          <w:p>
            <w:pPr>
              <w:pStyle w:val="66"/>
              <w:rPr>
                <w:snapToGrid w:val="0"/>
                <w:kern w:val="21"/>
              </w:rPr>
            </w:pPr>
            <w:r>
              <w:rPr>
                <w:rFonts w:hint="eastAsia"/>
              </w:rPr>
              <w:t>0.</w:t>
            </w:r>
            <w:r>
              <w:t>294</w:t>
            </w:r>
          </w:p>
        </w:tc>
        <w:tc>
          <w:tcPr>
            <w:tcW w:w="1761" w:type="dxa"/>
            <w:tcBorders>
              <w:bottom w:val="single" w:color="000000" w:sz="4" w:space="0"/>
            </w:tcBorders>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tcBorders>
              <w:bottom w:val="single" w:color="000000" w:sz="4" w:space="0"/>
            </w:tcBorders>
            <w:vAlign w:val="center"/>
          </w:tcPr>
          <w:p>
            <w:pPr>
              <w:pStyle w:val="66"/>
              <w:rPr>
                <w:snapToGrid w:val="0"/>
                <w:kern w:val="21"/>
              </w:rPr>
            </w:pPr>
            <w:r>
              <w:rPr>
                <w:rFonts w:hint="eastAsia"/>
              </w:rPr>
              <w:t>0.</w:t>
            </w:r>
            <w:r>
              <w:t>294</w:t>
            </w:r>
          </w:p>
        </w:tc>
        <w:tc>
          <w:tcPr>
            <w:tcW w:w="1195" w:type="dxa"/>
            <w:tcBorders>
              <w:bottom w:val="single" w:color="000000" w:sz="4" w:space="0"/>
            </w:tcBorders>
            <w:vAlign w:val="center"/>
          </w:tcPr>
          <w:p>
            <w:pPr>
              <w:pStyle w:val="66"/>
              <w:rPr>
                <w:snapToGrid w:val="0"/>
                <w:kern w:val="21"/>
              </w:rPr>
            </w:pPr>
            <w:r>
              <w:t>+</w:t>
            </w:r>
            <w:r>
              <w:rPr>
                <w:rFonts w:hint="eastAsia"/>
              </w:rPr>
              <w:t>0.</w:t>
            </w:r>
            <w:r>
              <w:t>294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tcBorders>
              <w:top w:val="single" w:color="000000" w:sz="4" w:space="0"/>
            </w:tcBorders>
            <w:vAlign w:val="center"/>
          </w:tcPr>
          <w:p>
            <w:pPr>
              <w:pStyle w:val="66"/>
              <w:spacing w:before="24" w:after="24"/>
              <w:rPr>
                <w:sz w:val="22"/>
              </w:rPr>
            </w:pPr>
            <w:r>
              <w:rPr>
                <w:sz w:val="22"/>
              </w:rPr>
              <w:t>废试剂瓶</w:t>
            </w:r>
          </w:p>
        </w:tc>
        <w:tc>
          <w:tcPr>
            <w:tcW w:w="1191" w:type="dxa"/>
            <w:tcBorders>
              <w:top w:val="single" w:color="000000" w:sz="4" w:space="0"/>
            </w:tcBorders>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tcBorders>
              <w:top w:val="single" w:color="000000" w:sz="4" w:space="0"/>
            </w:tcBorders>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tcBorders>
              <w:top w:val="single" w:color="000000" w:sz="4" w:space="0"/>
            </w:tcBorders>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tcBorders>
              <w:top w:val="single" w:color="000000" w:sz="4" w:space="0"/>
            </w:tcBorders>
            <w:vAlign w:val="center"/>
          </w:tcPr>
          <w:p>
            <w:pPr>
              <w:pStyle w:val="66"/>
              <w:rPr>
                <w:snapToGrid w:val="0"/>
                <w:kern w:val="21"/>
              </w:rPr>
            </w:pPr>
            <w:r>
              <w:rPr>
                <w:rFonts w:hint="eastAsia"/>
              </w:rPr>
              <w:t>0.</w:t>
            </w:r>
            <w:r>
              <w:t>5</w:t>
            </w:r>
          </w:p>
        </w:tc>
        <w:tc>
          <w:tcPr>
            <w:tcW w:w="1761" w:type="dxa"/>
            <w:tcBorders>
              <w:top w:val="single" w:color="000000" w:sz="4" w:space="0"/>
            </w:tcBorders>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tcBorders>
              <w:top w:val="single" w:color="000000" w:sz="4" w:space="0"/>
            </w:tcBorders>
            <w:vAlign w:val="center"/>
          </w:tcPr>
          <w:p>
            <w:pPr>
              <w:pStyle w:val="66"/>
              <w:rPr>
                <w:snapToGrid w:val="0"/>
                <w:kern w:val="21"/>
              </w:rPr>
            </w:pPr>
            <w:r>
              <w:rPr>
                <w:rFonts w:hint="eastAsia"/>
              </w:rPr>
              <w:t>0.</w:t>
            </w:r>
            <w:r>
              <w:t>5</w:t>
            </w:r>
          </w:p>
        </w:tc>
        <w:tc>
          <w:tcPr>
            <w:tcW w:w="1195" w:type="dxa"/>
            <w:tcBorders>
              <w:top w:val="single" w:color="000000" w:sz="4" w:space="0"/>
            </w:tcBorders>
            <w:vAlign w:val="center"/>
          </w:tcPr>
          <w:p>
            <w:pPr>
              <w:pStyle w:val="66"/>
              <w:rPr>
                <w:snapToGrid w:val="0"/>
                <w:kern w:val="21"/>
              </w:rPr>
            </w:pPr>
            <w:r>
              <w:t>+</w:t>
            </w:r>
            <w:r>
              <w:rPr>
                <w:rFonts w:hint="eastAsia"/>
              </w:rPr>
              <w:t>0.</w:t>
            </w:r>
            <w: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z w:val="22"/>
              </w:rPr>
            </w:pPr>
            <w:r>
              <w:rPr>
                <w:sz w:val="22"/>
              </w:rPr>
              <w:t>污泥</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rPr>
                <w:rFonts w:hint="eastAsia"/>
              </w:rPr>
              <w:t>0.</w:t>
            </w:r>
            <w:r>
              <w:t>13</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rPr>
                <w:snapToGrid w:val="0"/>
                <w:kern w:val="21"/>
              </w:rPr>
            </w:pPr>
            <w:r>
              <w:rPr>
                <w:rFonts w:hint="eastAsia"/>
              </w:rPr>
              <w:t>0.</w:t>
            </w:r>
            <w:r>
              <w:t>13</w:t>
            </w:r>
          </w:p>
        </w:tc>
        <w:tc>
          <w:tcPr>
            <w:tcW w:w="1195" w:type="dxa"/>
            <w:vAlign w:val="center"/>
          </w:tcPr>
          <w:p>
            <w:pPr>
              <w:pStyle w:val="66"/>
              <w:rPr>
                <w:snapToGrid w:val="0"/>
                <w:kern w:val="21"/>
              </w:rPr>
            </w:pPr>
            <w:r>
              <w:t>+</w:t>
            </w:r>
            <w:r>
              <w:rPr>
                <w:rFonts w:hint="eastAsia"/>
              </w:rPr>
              <w:t>0.</w:t>
            </w:r>
            <w: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z w:val="22"/>
              </w:rPr>
            </w:pPr>
            <w:r>
              <w:rPr>
                <w:rFonts w:hint="eastAsia"/>
                <w:sz w:val="22"/>
                <w:lang w:eastAsia="zh-CN"/>
              </w:rPr>
              <w:t>清洗废液</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rPr>
                <w:snapToGrid w:val="0"/>
                <w:kern w:val="21"/>
              </w:rPr>
            </w:pPr>
            <w:r>
              <w:t>182.5</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rPr>
                <w:snapToGrid w:val="0"/>
                <w:kern w:val="21"/>
              </w:rPr>
            </w:pPr>
            <w:r>
              <w:t>182.5</w:t>
            </w:r>
          </w:p>
        </w:tc>
        <w:tc>
          <w:tcPr>
            <w:tcW w:w="1195" w:type="dxa"/>
            <w:vAlign w:val="center"/>
          </w:tcPr>
          <w:p>
            <w:pPr>
              <w:pStyle w:val="66"/>
              <w:rPr>
                <w:snapToGrid w:val="0"/>
                <w:kern w:val="21"/>
              </w:rPr>
            </w:pPr>
            <w:r>
              <w:t>+182.5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z w:val="22"/>
                <w:lang w:eastAsia="zh-CN"/>
              </w:rPr>
            </w:pPr>
            <w:r>
              <w:rPr>
                <w:sz w:val="22"/>
              </w:rPr>
              <w:t>废紫外线灯管</w:t>
            </w:r>
          </w:p>
        </w:tc>
        <w:tc>
          <w:tcPr>
            <w:tcW w:w="119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424" w:type="dxa"/>
            <w:vAlign w:val="center"/>
          </w:tcPr>
          <w:p>
            <w:pPr>
              <w:pStyle w:val="66"/>
            </w:pPr>
            <w:r>
              <w:rPr>
                <w:rFonts w:hint="eastAsia"/>
              </w:rPr>
              <w:t>0.</w:t>
            </w:r>
            <w:r>
              <w:t>1172</w:t>
            </w:r>
          </w:p>
        </w:tc>
        <w:tc>
          <w:tcPr>
            <w:tcW w:w="1761" w:type="dxa"/>
            <w:vAlign w:val="center"/>
          </w:tcPr>
          <w:p>
            <w:pPr>
              <w:spacing w:line="240" w:lineRule="auto"/>
              <w:ind w:firstLine="0" w:firstLineChars="0"/>
              <w:jc w:val="center"/>
              <w:rPr>
                <w:snapToGrid w:val="0"/>
                <w:kern w:val="21"/>
                <w:sz w:val="21"/>
                <w:szCs w:val="21"/>
              </w:rPr>
            </w:pPr>
            <w:r>
              <w:rPr>
                <w:snapToGrid w:val="0"/>
                <w:kern w:val="21"/>
                <w:sz w:val="21"/>
                <w:szCs w:val="21"/>
              </w:rPr>
              <w:t>0</w:t>
            </w:r>
          </w:p>
        </w:tc>
        <w:tc>
          <w:tcPr>
            <w:tcW w:w="1590" w:type="dxa"/>
            <w:vAlign w:val="center"/>
          </w:tcPr>
          <w:p>
            <w:pPr>
              <w:pStyle w:val="66"/>
            </w:pPr>
            <w:r>
              <w:rPr>
                <w:rFonts w:hint="eastAsia"/>
              </w:rPr>
              <w:t>0.</w:t>
            </w:r>
            <w:r>
              <w:t>1172</w:t>
            </w:r>
          </w:p>
        </w:tc>
        <w:tc>
          <w:tcPr>
            <w:tcW w:w="1195" w:type="dxa"/>
            <w:vAlign w:val="center"/>
          </w:tcPr>
          <w:p>
            <w:pPr>
              <w:pStyle w:val="66"/>
            </w:pPr>
            <w:r>
              <w:t>+</w:t>
            </w:r>
            <w:r>
              <w:rPr>
                <w:rFonts w:hint="eastAsia"/>
              </w:rPr>
              <w:t>0.</w:t>
            </w:r>
            <w:r>
              <w:t>1172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dxa"/>
            <w:vMerge w:val="continue"/>
            <w:vAlign w:val="center"/>
          </w:tcPr>
          <w:p>
            <w:pPr>
              <w:pStyle w:val="66"/>
              <w:rPr>
                <w:snapToGrid w:val="0"/>
                <w:kern w:val="21"/>
                <w:sz w:val="22"/>
              </w:rPr>
            </w:pPr>
          </w:p>
        </w:tc>
        <w:tc>
          <w:tcPr>
            <w:tcW w:w="2807" w:type="dxa"/>
            <w:vAlign w:val="center"/>
          </w:tcPr>
          <w:p>
            <w:pPr>
              <w:pStyle w:val="66"/>
              <w:spacing w:before="24" w:after="24"/>
              <w:rPr>
                <w:sz w:val="22"/>
              </w:rPr>
            </w:pPr>
            <w:r>
              <w:rPr>
                <w:rFonts w:hint="eastAsia"/>
                <w:sz w:val="22"/>
                <w:lang w:eastAsia="zh-CN"/>
              </w:rPr>
              <w:t>废活性炭</w:t>
            </w:r>
          </w:p>
        </w:tc>
        <w:tc>
          <w:tcPr>
            <w:tcW w:w="1191"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399"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361"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424" w:type="dxa"/>
            <w:vAlign w:val="center"/>
          </w:tcPr>
          <w:p>
            <w:pPr>
              <w:pStyle w:val="66"/>
              <w:rPr>
                <w:snapToGrid w:val="0"/>
                <w:kern w:val="21"/>
              </w:rPr>
            </w:pPr>
            <w:r>
              <w:rPr>
                <w:rFonts w:hint="eastAsia"/>
              </w:rPr>
              <w:t>0</w:t>
            </w:r>
            <w:r>
              <w:t>.1225</w:t>
            </w:r>
          </w:p>
        </w:tc>
        <w:tc>
          <w:tcPr>
            <w:tcW w:w="1761" w:type="dxa"/>
            <w:vAlign w:val="center"/>
          </w:tcPr>
          <w:p>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590" w:type="dxa"/>
            <w:vAlign w:val="center"/>
          </w:tcPr>
          <w:p>
            <w:pPr>
              <w:pStyle w:val="66"/>
              <w:rPr>
                <w:snapToGrid w:val="0"/>
                <w:kern w:val="21"/>
              </w:rPr>
            </w:pPr>
            <w:r>
              <w:rPr>
                <w:rFonts w:hint="eastAsia"/>
              </w:rPr>
              <w:t>0</w:t>
            </w:r>
            <w:r>
              <w:t>.1225</w:t>
            </w:r>
          </w:p>
        </w:tc>
        <w:tc>
          <w:tcPr>
            <w:tcW w:w="1195" w:type="dxa"/>
            <w:vAlign w:val="center"/>
          </w:tcPr>
          <w:p>
            <w:pPr>
              <w:pStyle w:val="66"/>
              <w:rPr>
                <w:snapToGrid w:val="0"/>
                <w:kern w:val="21"/>
              </w:rPr>
            </w:pPr>
            <w:r>
              <w:t>+</w:t>
            </w:r>
            <w:r>
              <w:rPr>
                <w:rFonts w:hint="eastAsia"/>
              </w:rPr>
              <w:t>0</w:t>
            </w:r>
            <w:r>
              <w:t>.1225</w:t>
            </w:r>
          </w:p>
        </w:tc>
      </w:tr>
    </w:tbl>
    <w:p>
      <w:pPr>
        <w:pStyle w:val="56"/>
        <w:jc w:val="both"/>
        <w:sectPr>
          <w:pgSz w:w="16838" w:h="11906" w:orient="landscape"/>
          <w:pgMar w:top="1800" w:right="1440" w:bottom="1800" w:left="1440" w:header="851" w:footer="992" w:gutter="0"/>
          <w:cols w:space="720" w:num="1"/>
          <w:docGrid w:type="lines" w:linePitch="326" w:charSpace="0"/>
        </w:sectPr>
      </w:pPr>
    </w:p>
    <w:p>
      <w:pPr>
        <w:pStyle w:val="2"/>
        <w:numPr>
          <w:ilvl w:val="0"/>
          <w:numId w:val="0"/>
        </w:numPr>
        <w:spacing w:before="163" w:beforeLines="50" w:after="163" w:afterLines="50"/>
        <w:jc w:val="both"/>
        <w:rPr>
          <w:sz w:val="28"/>
          <w:szCs w:val="28"/>
        </w:rPr>
      </w:pPr>
      <w:bookmarkStart w:id="147" w:name="_Toc122338527"/>
      <w:r>
        <w:rPr>
          <w:rFonts w:hint="eastAsia"/>
          <w:sz w:val="28"/>
          <w:szCs w:val="28"/>
        </w:rPr>
        <w:t>附图1</w:t>
      </w:r>
      <w:r>
        <w:rPr>
          <w:sz w:val="28"/>
          <w:szCs w:val="28"/>
        </w:rPr>
        <w:t xml:space="preserve">  </w:t>
      </w:r>
      <w:r>
        <w:rPr>
          <w:rFonts w:hint="eastAsia"/>
          <w:sz w:val="28"/>
          <w:szCs w:val="28"/>
        </w:rPr>
        <w:t>建设项目地理位置图</w:t>
      </w:r>
      <w:bookmarkEnd w:id="147"/>
    </w:p>
    <w:p>
      <w:pPr>
        <w:pStyle w:val="56"/>
        <w:sectPr>
          <w:pgSz w:w="16838" w:h="11906" w:orient="landscape"/>
          <w:pgMar w:top="1800" w:right="1440" w:bottom="1800" w:left="1440" w:header="851" w:footer="992" w:gutter="0"/>
          <w:cols w:space="720" w:num="1"/>
          <w:docGrid w:type="lines" w:linePitch="326" w:charSpace="0"/>
        </w:sectPr>
      </w:pPr>
      <w:r>
        <w:drawing>
          <wp:inline distT="0" distB="0" distL="0" distR="0">
            <wp:extent cx="7066915" cy="4528820"/>
            <wp:effectExtent l="0" t="0" r="63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3" cstate="email"/>
                    <a:stretch>
                      <a:fillRect/>
                    </a:stretch>
                  </pic:blipFill>
                  <pic:spPr>
                    <a:xfrm>
                      <a:off x="0" y="0"/>
                      <a:ext cx="7106515" cy="4554179"/>
                    </a:xfrm>
                    <a:prstGeom prst="rect">
                      <a:avLst/>
                    </a:prstGeom>
                  </pic:spPr>
                </pic:pic>
              </a:graphicData>
            </a:graphic>
          </wp:inline>
        </w:drawing>
      </w:r>
    </w:p>
    <w:p>
      <w:pPr>
        <w:pStyle w:val="2"/>
        <w:numPr>
          <w:ilvl w:val="0"/>
          <w:numId w:val="0"/>
        </w:numPr>
        <w:spacing w:before="163" w:beforeLines="50" w:after="163" w:afterLines="50"/>
        <w:jc w:val="both"/>
        <w:rPr>
          <w:sz w:val="28"/>
          <w:szCs w:val="28"/>
        </w:rPr>
      </w:pPr>
      <w:bookmarkStart w:id="148" w:name="_Toc122338528"/>
      <w:r>
        <w:rPr>
          <w:rFonts w:hint="eastAsia"/>
          <w:sz w:val="28"/>
          <w:szCs w:val="28"/>
        </w:rPr>
        <w:t>附图2</w:t>
      </w:r>
      <w:r>
        <w:rPr>
          <w:sz w:val="28"/>
          <w:szCs w:val="28"/>
        </w:rPr>
        <w:t xml:space="preserve">  </w:t>
      </w:r>
      <w:r>
        <w:rPr>
          <w:rFonts w:hint="eastAsia"/>
          <w:sz w:val="28"/>
          <w:szCs w:val="28"/>
        </w:rPr>
        <w:t>项目四至关系图</w:t>
      </w:r>
      <w:bookmarkEnd w:id="148"/>
    </w:p>
    <w:p>
      <w:pPr>
        <w:pStyle w:val="56"/>
        <w:sectPr>
          <w:pgSz w:w="16838" w:h="11906" w:orient="landscape"/>
          <w:pgMar w:top="1800" w:right="1440" w:bottom="1800" w:left="1440" w:header="851" w:footer="992" w:gutter="0"/>
          <w:cols w:space="720" w:num="1"/>
          <w:docGrid w:type="lines" w:linePitch="326" w:charSpace="0"/>
        </w:sectPr>
      </w:pPr>
      <w:r>
        <w:drawing>
          <wp:inline distT="0" distB="0" distL="0" distR="0">
            <wp:extent cx="6972300" cy="4335145"/>
            <wp:effectExtent l="0" t="0" r="0"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4" cstate="email"/>
                    <a:stretch>
                      <a:fillRect/>
                    </a:stretch>
                  </pic:blipFill>
                  <pic:spPr>
                    <a:xfrm>
                      <a:off x="0" y="0"/>
                      <a:ext cx="6979694" cy="4339971"/>
                    </a:xfrm>
                    <a:prstGeom prst="rect">
                      <a:avLst/>
                    </a:prstGeom>
                  </pic:spPr>
                </pic:pic>
              </a:graphicData>
            </a:graphic>
          </wp:inline>
        </w:drawing>
      </w:r>
    </w:p>
    <w:p>
      <w:pPr>
        <w:pStyle w:val="2"/>
        <w:numPr>
          <w:ilvl w:val="0"/>
          <w:numId w:val="0"/>
        </w:numPr>
        <w:spacing w:before="163" w:beforeLines="50" w:after="163" w:afterLines="50"/>
        <w:jc w:val="both"/>
        <w:rPr>
          <w:sz w:val="28"/>
          <w:szCs w:val="28"/>
        </w:rPr>
      </w:pPr>
      <w:bookmarkStart w:id="149" w:name="_Toc122338529"/>
      <w:r>
        <w:rPr>
          <w:rFonts w:hint="eastAsia"/>
          <w:sz w:val="28"/>
          <w:szCs w:val="28"/>
        </w:rPr>
        <w:t>附图3</w:t>
      </w:r>
      <w:r>
        <w:rPr>
          <w:sz w:val="28"/>
          <w:szCs w:val="28"/>
        </w:rPr>
        <w:t xml:space="preserve">  </w:t>
      </w:r>
      <w:r>
        <w:rPr>
          <w:rFonts w:hint="eastAsia"/>
          <w:sz w:val="28"/>
          <w:szCs w:val="28"/>
        </w:rPr>
        <w:t>平面布置图</w:t>
      </w:r>
      <w:bookmarkEnd w:id="149"/>
    </w:p>
    <w:p>
      <w:pPr>
        <w:pStyle w:val="56"/>
      </w:pPr>
      <w:r>
        <w:drawing>
          <wp:inline distT="0" distB="0" distL="0" distR="0">
            <wp:extent cx="9320530" cy="4772660"/>
            <wp:effectExtent l="0" t="0" r="0" b="8890"/>
            <wp:docPr id="20" name="图片 20" descr="E:\微信文件\WeChat Files\wxid_2b3cst8mfxqv22\FileStorage\Temp\1670670716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微信文件\WeChat Files\wxid_2b3cst8mfxqv22\FileStorage\Temp\1670670716343.png"/>
                    <pic:cNvPicPr>
                      <a:picLocks noChangeAspect="1" noChangeArrowheads="1"/>
                    </pic:cNvPicPr>
                  </pic:nvPicPr>
                  <pic:blipFill>
                    <a:blip r:embed="rId45" cstate="email"/>
                    <a:srcRect/>
                    <a:stretch>
                      <a:fillRect/>
                    </a:stretch>
                  </pic:blipFill>
                  <pic:spPr>
                    <a:xfrm>
                      <a:off x="0" y="0"/>
                      <a:ext cx="9320530" cy="4772867"/>
                    </a:xfrm>
                    <a:prstGeom prst="rect">
                      <a:avLst/>
                    </a:prstGeom>
                    <a:noFill/>
                    <a:ln>
                      <a:noFill/>
                    </a:ln>
                  </pic:spPr>
                </pic:pic>
              </a:graphicData>
            </a:graphic>
          </wp:inline>
        </w:drawing>
      </w:r>
    </w:p>
    <w:p>
      <w:pPr>
        <w:pStyle w:val="56"/>
      </w:pPr>
    </w:p>
    <w:p>
      <w:pPr>
        <w:pStyle w:val="56"/>
      </w:pPr>
    </w:p>
    <w:p>
      <w:pPr>
        <w:pStyle w:val="56"/>
      </w:pPr>
      <w:r>
        <w:t xml:space="preserve"> </w:t>
      </w:r>
      <w:r>
        <w:drawing>
          <wp:inline distT="0" distB="0" distL="0" distR="0">
            <wp:extent cx="9320530" cy="4961890"/>
            <wp:effectExtent l="0" t="0" r="0" b="0"/>
            <wp:docPr id="19" name="图片 19" descr="E:\微信文件\WeChat Files\wxid_2b3cst8mfxqv22\FileStorage\Temp\1670670675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微信文件\WeChat Files\wxid_2b3cst8mfxqv22\FileStorage\Temp\1670670675525.png"/>
                    <pic:cNvPicPr>
                      <a:picLocks noChangeAspect="1" noChangeArrowheads="1"/>
                    </pic:cNvPicPr>
                  </pic:nvPicPr>
                  <pic:blipFill>
                    <a:blip r:embed="rId46" cstate="email"/>
                    <a:srcRect/>
                    <a:stretch>
                      <a:fillRect/>
                    </a:stretch>
                  </pic:blipFill>
                  <pic:spPr>
                    <a:xfrm>
                      <a:off x="0" y="0"/>
                      <a:ext cx="9320530" cy="4962218"/>
                    </a:xfrm>
                    <a:prstGeom prst="rect">
                      <a:avLst/>
                    </a:prstGeom>
                    <a:noFill/>
                    <a:ln>
                      <a:noFill/>
                    </a:ln>
                  </pic:spPr>
                </pic:pic>
              </a:graphicData>
            </a:graphic>
          </wp:inline>
        </w:drawing>
      </w:r>
    </w:p>
    <w:p>
      <w:pPr>
        <w:pStyle w:val="56"/>
      </w:pPr>
      <w:r>
        <w:drawing>
          <wp:inline distT="0" distB="0" distL="0" distR="0">
            <wp:extent cx="9320530" cy="4704080"/>
            <wp:effectExtent l="0" t="0" r="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7" cstate="email"/>
                    <a:stretch>
                      <a:fillRect/>
                    </a:stretch>
                  </pic:blipFill>
                  <pic:spPr>
                    <a:xfrm>
                      <a:off x="0" y="0"/>
                      <a:ext cx="9320530" cy="4704080"/>
                    </a:xfrm>
                    <a:prstGeom prst="rect">
                      <a:avLst/>
                    </a:prstGeom>
                  </pic:spPr>
                </pic:pic>
              </a:graphicData>
            </a:graphic>
          </wp:inline>
        </w:drawing>
      </w:r>
    </w:p>
    <w:p>
      <w:pPr>
        <w:pStyle w:val="56"/>
      </w:pPr>
      <w:r>
        <w:drawing>
          <wp:inline distT="0" distB="0" distL="0" distR="0">
            <wp:extent cx="9320530" cy="5459095"/>
            <wp:effectExtent l="0" t="0" r="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8" cstate="email"/>
                    <a:stretch>
                      <a:fillRect/>
                    </a:stretch>
                  </pic:blipFill>
                  <pic:spPr>
                    <a:xfrm>
                      <a:off x="0" y="0"/>
                      <a:ext cx="9320530" cy="5459095"/>
                    </a:xfrm>
                    <a:prstGeom prst="rect">
                      <a:avLst/>
                    </a:prstGeom>
                  </pic:spPr>
                </pic:pic>
              </a:graphicData>
            </a:graphic>
          </wp:inline>
        </w:drawing>
      </w:r>
    </w:p>
    <w:p>
      <w:pPr>
        <w:pStyle w:val="56"/>
      </w:pPr>
      <w:r>
        <w:drawing>
          <wp:inline distT="0" distB="0" distL="0" distR="0">
            <wp:extent cx="9320530" cy="559816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9" cstate="email"/>
                    <a:stretch>
                      <a:fillRect/>
                    </a:stretch>
                  </pic:blipFill>
                  <pic:spPr>
                    <a:xfrm>
                      <a:off x="0" y="0"/>
                      <a:ext cx="9320530" cy="5598160"/>
                    </a:xfrm>
                    <a:prstGeom prst="rect">
                      <a:avLst/>
                    </a:prstGeom>
                  </pic:spPr>
                </pic:pic>
              </a:graphicData>
            </a:graphic>
          </wp:inline>
        </w:drawing>
      </w:r>
    </w:p>
    <w:p>
      <w:pPr>
        <w:widowControl/>
        <w:adjustRightInd/>
        <w:snapToGrid/>
        <w:spacing w:line="240" w:lineRule="auto"/>
        <w:ind w:firstLine="0" w:firstLineChars="0"/>
        <w:jc w:val="left"/>
        <w:rPr>
          <w:lang w:val="zh-CN" w:eastAsia="zh-CN"/>
        </w:rPr>
      </w:pPr>
      <w:r>
        <w:rPr>
          <w:lang w:val="zh-CN" w:eastAsia="zh-CN"/>
        </w:rPr>
        <w:br w:type="page"/>
      </w:r>
    </w:p>
    <w:p>
      <w:pPr>
        <w:pStyle w:val="2"/>
        <w:numPr>
          <w:ilvl w:val="0"/>
          <w:numId w:val="0"/>
        </w:numPr>
        <w:spacing w:before="163" w:beforeLines="50" w:after="163" w:afterLines="50"/>
        <w:jc w:val="both"/>
        <w:rPr>
          <w:sz w:val="28"/>
          <w:szCs w:val="28"/>
        </w:rPr>
      </w:pPr>
      <w:bookmarkStart w:id="150" w:name="_Toc122338530"/>
      <w:r>
        <w:rPr>
          <w:rFonts w:hint="eastAsia"/>
          <w:sz w:val="28"/>
          <w:szCs w:val="28"/>
        </w:rPr>
        <w:t>附图</w:t>
      </w:r>
      <w:r>
        <w:rPr>
          <w:sz w:val="28"/>
          <w:szCs w:val="28"/>
        </w:rPr>
        <w:t xml:space="preserve">4  </w:t>
      </w:r>
      <w:r>
        <w:rPr>
          <w:rFonts w:hint="eastAsia"/>
          <w:sz w:val="28"/>
          <w:szCs w:val="28"/>
        </w:rPr>
        <w:t>项目5</w:t>
      </w:r>
      <w:r>
        <w:rPr>
          <w:sz w:val="28"/>
          <w:szCs w:val="28"/>
        </w:rPr>
        <w:t>00</w:t>
      </w:r>
      <w:r>
        <w:rPr>
          <w:rFonts w:hint="eastAsia"/>
          <w:sz w:val="28"/>
          <w:szCs w:val="28"/>
        </w:rPr>
        <w:t>米范围图</w:t>
      </w:r>
      <w:bookmarkEnd w:id="150"/>
    </w:p>
    <w:p>
      <w:pPr>
        <w:pStyle w:val="56"/>
      </w:pPr>
      <w:r>
        <w:drawing>
          <wp:inline distT="0" distB="0" distL="0" distR="0">
            <wp:extent cx="7067550" cy="474218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0" cstate="email"/>
                    <a:stretch>
                      <a:fillRect/>
                    </a:stretch>
                  </pic:blipFill>
                  <pic:spPr>
                    <a:xfrm>
                      <a:off x="0" y="0"/>
                      <a:ext cx="7077017" cy="4748878"/>
                    </a:xfrm>
                    <a:prstGeom prst="rect">
                      <a:avLst/>
                    </a:prstGeom>
                  </pic:spPr>
                </pic:pic>
              </a:graphicData>
            </a:graphic>
          </wp:inline>
        </w:drawing>
      </w:r>
    </w:p>
    <w:p>
      <w:pPr>
        <w:pStyle w:val="56"/>
        <w:sectPr>
          <w:pgSz w:w="16838" w:h="11906" w:orient="landscape"/>
          <w:pgMar w:top="1440" w:right="1080" w:bottom="1440" w:left="1080" w:header="851" w:footer="992" w:gutter="0"/>
          <w:cols w:space="720" w:num="1"/>
          <w:docGrid w:type="lines" w:linePitch="326" w:charSpace="0"/>
        </w:sectPr>
      </w:pPr>
    </w:p>
    <w:p>
      <w:pPr>
        <w:pStyle w:val="2"/>
        <w:numPr>
          <w:ilvl w:val="0"/>
          <w:numId w:val="0"/>
        </w:numPr>
        <w:spacing w:before="163" w:beforeLines="50" w:after="163" w:afterLines="50"/>
        <w:jc w:val="both"/>
        <w:rPr>
          <w:sz w:val="28"/>
          <w:szCs w:val="28"/>
        </w:rPr>
      </w:pPr>
      <w:bookmarkStart w:id="151" w:name="_Toc122338531"/>
      <w:r>
        <w:rPr>
          <w:rFonts w:hint="eastAsia"/>
          <w:sz w:val="28"/>
          <w:szCs w:val="28"/>
        </w:rPr>
        <w:t>附图5</w:t>
      </w:r>
      <w:r>
        <w:rPr>
          <w:sz w:val="28"/>
          <w:szCs w:val="28"/>
        </w:rPr>
        <w:t xml:space="preserve">  </w:t>
      </w:r>
      <w:r>
        <w:rPr>
          <w:rFonts w:hint="eastAsia"/>
          <w:sz w:val="28"/>
          <w:szCs w:val="28"/>
        </w:rPr>
        <w:t>项目周边环境实景图</w:t>
      </w:r>
      <w:bookmarkEnd w:id="151"/>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56"/>
            </w:pPr>
            <w:r>
              <w:rPr>
                <w:rFonts w:hint="eastAsia"/>
              </w:rPr>
              <w:drawing>
                <wp:inline distT="0" distB="0" distL="0" distR="0">
                  <wp:extent cx="2488565" cy="1868805"/>
                  <wp:effectExtent l="0" t="0" r="6985" b="0"/>
                  <wp:docPr id="25" name="图片 25" descr="C:\Users\ADMINI~1\AppData\Local\Temp\WeChat Files\84748ae2e6ff964a8e0958672813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WeChat Files\84748ae2e6ff964a8e0958672813b20.jpg"/>
                          <pic:cNvPicPr>
                            <a:picLocks noChangeAspect="1" noChangeArrowheads="1"/>
                          </pic:cNvPicPr>
                        </pic:nvPicPr>
                        <pic:blipFill>
                          <a:blip r:embed="rId51" cstate="email"/>
                          <a:srcRect/>
                          <a:stretch>
                            <a:fillRect/>
                          </a:stretch>
                        </pic:blipFill>
                        <pic:spPr>
                          <a:xfrm>
                            <a:off x="0" y="0"/>
                            <a:ext cx="2488565" cy="1868805"/>
                          </a:xfrm>
                          <a:prstGeom prst="rect">
                            <a:avLst/>
                          </a:prstGeom>
                          <a:noFill/>
                          <a:ln>
                            <a:noFill/>
                          </a:ln>
                        </pic:spPr>
                      </pic:pic>
                    </a:graphicData>
                  </a:graphic>
                </wp:inline>
              </w:drawing>
            </w:r>
          </w:p>
        </w:tc>
        <w:tc>
          <w:tcPr>
            <w:tcW w:w="2500" w:type="pct"/>
          </w:tcPr>
          <w:p>
            <w:pPr>
              <w:pStyle w:val="56"/>
            </w:pPr>
            <w:r>
              <w:rPr>
                <w:rFonts w:hint="eastAsia"/>
              </w:rPr>
              <w:drawing>
                <wp:inline distT="0" distB="0" distL="0" distR="0">
                  <wp:extent cx="2488565" cy="1868805"/>
                  <wp:effectExtent l="0" t="0" r="6985" b="0"/>
                  <wp:docPr id="26" name="图片 26" descr="C:\Users\ADMINI~1\AppData\Local\Temp\WeChat Files\b6a28470db5de38a10a9636cde9b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WeChat Files\b6a28470db5de38a10a9636cde9b376.jpg"/>
                          <pic:cNvPicPr>
                            <a:picLocks noChangeAspect="1" noChangeArrowheads="1"/>
                          </pic:cNvPicPr>
                        </pic:nvPicPr>
                        <pic:blipFill>
                          <a:blip r:embed="rId52" cstate="email"/>
                          <a:srcRect/>
                          <a:stretch>
                            <a:fillRect/>
                          </a:stretch>
                        </pic:blipFill>
                        <pic:spPr>
                          <a:xfrm>
                            <a:off x="0" y="0"/>
                            <a:ext cx="2488565" cy="1868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56"/>
            </w:pPr>
            <w:r>
              <w:rPr>
                <w:rFonts w:hint="eastAsia"/>
                <w:lang w:eastAsia="zh-CN"/>
              </w:rPr>
              <w:t>项目东侧高水公路</w:t>
            </w:r>
          </w:p>
        </w:tc>
        <w:tc>
          <w:tcPr>
            <w:tcW w:w="2500" w:type="pct"/>
          </w:tcPr>
          <w:p>
            <w:pPr>
              <w:pStyle w:val="56"/>
            </w:pPr>
            <w:r>
              <w:rPr>
                <w:rFonts w:hint="eastAsia"/>
                <w:lang w:eastAsia="zh-CN"/>
              </w:rPr>
              <w:t>项目南侧圆通速递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56"/>
            </w:pPr>
            <w:r>
              <w:rPr>
                <w:rFonts w:hint="eastAsia"/>
              </w:rPr>
              <w:drawing>
                <wp:inline distT="0" distB="0" distL="0" distR="0">
                  <wp:extent cx="2488565" cy="1868805"/>
                  <wp:effectExtent l="0" t="0" r="6985" b="0"/>
                  <wp:docPr id="27" name="图片 27" descr="C:\Users\ADMINI~1\AppData\Local\Temp\WeChat Files\8699d78beec97f837e9f752829f7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WeChat Files\8699d78beec97f837e9f752829f7a80.jpg"/>
                          <pic:cNvPicPr>
                            <a:picLocks noChangeAspect="1" noChangeArrowheads="1"/>
                          </pic:cNvPicPr>
                        </pic:nvPicPr>
                        <pic:blipFill>
                          <a:blip r:embed="rId53" cstate="email"/>
                          <a:srcRect/>
                          <a:stretch>
                            <a:fillRect/>
                          </a:stretch>
                        </pic:blipFill>
                        <pic:spPr>
                          <a:xfrm>
                            <a:off x="0" y="0"/>
                            <a:ext cx="2488565" cy="1868805"/>
                          </a:xfrm>
                          <a:prstGeom prst="rect">
                            <a:avLst/>
                          </a:prstGeom>
                          <a:noFill/>
                          <a:ln>
                            <a:noFill/>
                          </a:ln>
                        </pic:spPr>
                      </pic:pic>
                    </a:graphicData>
                  </a:graphic>
                </wp:inline>
              </w:drawing>
            </w:r>
          </w:p>
        </w:tc>
        <w:tc>
          <w:tcPr>
            <w:tcW w:w="2500" w:type="pct"/>
          </w:tcPr>
          <w:p>
            <w:pPr>
              <w:pStyle w:val="56"/>
            </w:pPr>
            <w:r>
              <w:rPr>
                <w:rFonts w:hint="eastAsia"/>
              </w:rPr>
              <w:drawing>
                <wp:inline distT="0" distB="0" distL="0" distR="0">
                  <wp:extent cx="2488565" cy="3315970"/>
                  <wp:effectExtent l="0" t="0" r="6985" b="0"/>
                  <wp:docPr id="28" name="图片 28" descr="C:\Users\ADMINI~1\AppData\Local\Temp\WeChat Files\c60461008a5a7c1728565f0d0ea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WeChat Files\c60461008a5a7c1728565f0d0ea0575.jpg"/>
                          <pic:cNvPicPr>
                            <a:picLocks noChangeAspect="1" noChangeArrowheads="1"/>
                          </pic:cNvPicPr>
                        </pic:nvPicPr>
                        <pic:blipFill>
                          <a:blip r:embed="rId54" cstate="email"/>
                          <a:srcRect/>
                          <a:stretch>
                            <a:fillRect/>
                          </a:stretch>
                        </pic:blipFill>
                        <pic:spPr>
                          <a:xfrm>
                            <a:off x="0" y="0"/>
                            <a:ext cx="2488565" cy="33159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56"/>
            </w:pPr>
            <w:r>
              <w:rPr>
                <w:rFonts w:hint="eastAsia"/>
                <w:lang w:eastAsia="zh-CN"/>
              </w:rPr>
              <w:t>项目西侧林地</w:t>
            </w:r>
          </w:p>
        </w:tc>
        <w:tc>
          <w:tcPr>
            <w:tcW w:w="2500" w:type="pct"/>
          </w:tcPr>
          <w:p>
            <w:pPr>
              <w:pStyle w:val="56"/>
            </w:pPr>
            <w:r>
              <w:rPr>
                <w:rFonts w:hint="eastAsia"/>
                <w:lang w:eastAsia="zh-CN"/>
              </w:rPr>
              <w:t>项目北侧圆梦园</w:t>
            </w:r>
          </w:p>
        </w:tc>
      </w:tr>
    </w:tbl>
    <w:p>
      <w:pPr>
        <w:pStyle w:val="56"/>
        <w:sectPr>
          <w:pgSz w:w="11906" w:h="16838"/>
          <w:pgMar w:top="1440" w:right="1800" w:bottom="1440" w:left="1800" w:header="851" w:footer="992" w:gutter="0"/>
          <w:cols w:space="720" w:num="1"/>
          <w:docGrid w:type="lines" w:linePitch="326" w:charSpace="0"/>
        </w:sectPr>
      </w:pPr>
    </w:p>
    <w:p>
      <w:pPr>
        <w:pStyle w:val="2"/>
        <w:numPr>
          <w:ilvl w:val="0"/>
          <w:numId w:val="0"/>
        </w:numPr>
        <w:spacing w:before="163" w:beforeLines="50" w:after="163" w:afterLines="50"/>
        <w:jc w:val="both"/>
        <w:rPr>
          <w:sz w:val="28"/>
          <w:szCs w:val="28"/>
        </w:rPr>
      </w:pPr>
      <w:bookmarkStart w:id="152" w:name="_Toc122338532"/>
      <w:r>
        <w:rPr>
          <w:rFonts w:hint="eastAsia"/>
          <w:sz w:val="28"/>
          <w:szCs w:val="28"/>
        </w:rPr>
        <w:t>附图6</w:t>
      </w:r>
      <w:r>
        <w:rPr>
          <w:sz w:val="28"/>
          <w:szCs w:val="28"/>
        </w:rPr>
        <w:t xml:space="preserve">  </w:t>
      </w:r>
      <w:r>
        <w:rPr>
          <w:rFonts w:hint="eastAsia"/>
          <w:sz w:val="28"/>
          <w:szCs w:val="28"/>
        </w:rPr>
        <w:t>生态保护红线</w:t>
      </w:r>
      <w:bookmarkEnd w:id="152"/>
    </w:p>
    <w:p>
      <w:pPr>
        <w:pStyle w:val="56"/>
      </w:pPr>
      <w:r>
        <w:drawing>
          <wp:inline distT="0" distB="0" distL="0" distR="0">
            <wp:extent cx="6520815" cy="4606925"/>
            <wp:effectExtent l="0" t="0" r="0" b="3175"/>
            <wp:docPr id="30" name="图片 30" descr="E:\微信文件\WeChat Files\wxid_2b3cst8mfxqv22\FileStorage\Temp\1669943739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微信文件\WeChat Files\wxid_2b3cst8mfxqv22\FileStorage\Temp\1669943739311.png"/>
                    <pic:cNvPicPr>
                      <a:picLocks noChangeAspect="1" noChangeArrowheads="1"/>
                    </pic:cNvPicPr>
                  </pic:nvPicPr>
                  <pic:blipFill>
                    <a:blip r:embed="rId55" cstate="email"/>
                    <a:srcRect/>
                    <a:stretch>
                      <a:fillRect/>
                    </a:stretch>
                  </pic:blipFill>
                  <pic:spPr>
                    <a:xfrm>
                      <a:off x="0" y="0"/>
                      <a:ext cx="6557752" cy="4633114"/>
                    </a:xfrm>
                    <a:prstGeom prst="rect">
                      <a:avLst/>
                    </a:prstGeom>
                    <a:noFill/>
                    <a:ln>
                      <a:noFill/>
                    </a:ln>
                  </pic:spPr>
                </pic:pic>
              </a:graphicData>
            </a:graphic>
          </wp:inline>
        </w:drawing>
      </w:r>
    </w:p>
    <w:p>
      <w:pPr>
        <w:ind w:firstLine="480"/>
        <w:rPr>
          <w:lang w:val="zh-CN" w:eastAsia="zh-CN"/>
        </w:rPr>
        <w:sectPr>
          <w:pgSz w:w="16838" w:h="11906" w:orient="landscape"/>
          <w:pgMar w:top="1800" w:right="1440" w:bottom="1800" w:left="1440" w:header="851" w:footer="992" w:gutter="0"/>
          <w:cols w:space="720" w:num="1"/>
          <w:docGrid w:type="lines" w:linePitch="326" w:charSpace="0"/>
        </w:sectPr>
      </w:pPr>
    </w:p>
    <w:p>
      <w:pPr>
        <w:pStyle w:val="2"/>
        <w:numPr>
          <w:ilvl w:val="0"/>
          <w:numId w:val="0"/>
        </w:numPr>
        <w:spacing w:before="163" w:beforeLines="50" w:after="163" w:afterLines="50"/>
        <w:jc w:val="both"/>
        <w:rPr>
          <w:sz w:val="28"/>
          <w:szCs w:val="28"/>
        </w:rPr>
      </w:pPr>
      <w:bookmarkStart w:id="153" w:name="_Toc122338533"/>
      <w:r>
        <w:rPr>
          <w:rFonts w:hint="eastAsia"/>
          <w:sz w:val="28"/>
          <w:szCs w:val="28"/>
        </w:rPr>
        <w:t>附图7</w:t>
      </w:r>
      <w:r>
        <w:rPr>
          <w:sz w:val="28"/>
          <w:szCs w:val="28"/>
        </w:rPr>
        <w:t xml:space="preserve">  </w:t>
      </w:r>
      <w:r>
        <w:rPr>
          <w:rFonts w:hint="eastAsia"/>
          <w:sz w:val="28"/>
          <w:szCs w:val="28"/>
        </w:rPr>
        <w:t>茂名市“三线一单”管控单元</w:t>
      </w:r>
      <w:bookmarkEnd w:id="153"/>
    </w:p>
    <w:p>
      <w:pPr>
        <w:pStyle w:val="56"/>
      </w:pPr>
      <w:r>
        <w:drawing>
          <wp:inline distT="0" distB="0" distL="0" distR="0">
            <wp:extent cx="7924800" cy="460946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6" cstate="email"/>
                    <a:stretch>
                      <a:fillRect/>
                    </a:stretch>
                  </pic:blipFill>
                  <pic:spPr>
                    <a:xfrm>
                      <a:off x="0" y="0"/>
                      <a:ext cx="7937269" cy="4616900"/>
                    </a:xfrm>
                    <a:prstGeom prst="rect">
                      <a:avLst/>
                    </a:prstGeom>
                  </pic:spPr>
                </pic:pic>
              </a:graphicData>
            </a:graphic>
          </wp:inline>
        </w:drawing>
      </w:r>
    </w:p>
    <w:p>
      <w:pPr>
        <w:pStyle w:val="56"/>
      </w:pPr>
    </w:p>
    <w:p>
      <w:pPr>
        <w:pStyle w:val="56"/>
      </w:pPr>
      <w:r>
        <w:drawing>
          <wp:inline distT="0" distB="0" distL="0" distR="0">
            <wp:extent cx="8863330" cy="495871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7" cstate="email"/>
                    <a:stretch>
                      <a:fillRect/>
                    </a:stretch>
                  </pic:blipFill>
                  <pic:spPr>
                    <a:xfrm>
                      <a:off x="0" y="0"/>
                      <a:ext cx="8863330" cy="4958715"/>
                    </a:xfrm>
                    <a:prstGeom prst="rect">
                      <a:avLst/>
                    </a:prstGeom>
                  </pic:spPr>
                </pic:pic>
              </a:graphicData>
            </a:graphic>
          </wp:inline>
        </w:drawing>
      </w:r>
    </w:p>
    <w:p>
      <w:pPr>
        <w:pStyle w:val="55"/>
      </w:pPr>
      <w:r>
        <w:rPr>
          <w:rFonts w:hint="eastAsia"/>
        </w:rPr>
        <w:t>广东省“三线一单”平台截图（陆域环境：ZH44090430001(电白区中北部片区)）</w:t>
      </w:r>
    </w:p>
    <w:p>
      <w:pPr>
        <w:pStyle w:val="56"/>
      </w:pPr>
      <w:r>
        <w:drawing>
          <wp:inline distT="0" distB="0" distL="0" distR="0">
            <wp:extent cx="8863330" cy="4605655"/>
            <wp:effectExtent l="0" t="0" r="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8" cstate="email"/>
                    <a:stretch>
                      <a:fillRect/>
                    </a:stretch>
                  </pic:blipFill>
                  <pic:spPr>
                    <a:xfrm>
                      <a:off x="0" y="0"/>
                      <a:ext cx="8863330" cy="4605655"/>
                    </a:xfrm>
                    <a:prstGeom prst="rect">
                      <a:avLst/>
                    </a:prstGeom>
                  </pic:spPr>
                </pic:pic>
              </a:graphicData>
            </a:graphic>
          </wp:inline>
        </w:drawing>
      </w:r>
    </w:p>
    <w:p>
      <w:pPr>
        <w:pStyle w:val="55"/>
      </w:pPr>
      <w:r>
        <w:rPr>
          <w:rFonts w:hint="eastAsia"/>
        </w:rPr>
        <w:t>广东省“三线一单”平台截图（水环境：YS4409043210004(广东省茂名市电白区水环境一般管控区4)）</w:t>
      </w:r>
    </w:p>
    <w:p>
      <w:pPr>
        <w:pStyle w:val="56"/>
      </w:pPr>
      <w:r>
        <w:drawing>
          <wp:inline distT="0" distB="0" distL="0" distR="0">
            <wp:extent cx="8863330" cy="4816475"/>
            <wp:effectExtent l="0" t="0" r="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9" cstate="email"/>
                    <a:stretch>
                      <a:fillRect/>
                    </a:stretch>
                  </pic:blipFill>
                  <pic:spPr>
                    <a:xfrm>
                      <a:off x="0" y="0"/>
                      <a:ext cx="8863330" cy="4816475"/>
                    </a:xfrm>
                    <a:prstGeom prst="rect">
                      <a:avLst/>
                    </a:prstGeom>
                  </pic:spPr>
                </pic:pic>
              </a:graphicData>
            </a:graphic>
          </wp:inline>
        </w:drawing>
      </w:r>
    </w:p>
    <w:p>
      <w:pPr>
        <w:pStyle w:val="55"/>
      </w:pPr>
      <w:r>
        <w:rPr>
          <w:rFonts w:hint="eastAsia"/>
        </w:rPr>
        <w:t>广东省“三线一单”平台截图（大气环境：YS4409042320001(广东省茂名市电白区大气环境布局敏感重点管控区1)）</w:t>
      </w:r>
    </w:p>
    <w:p>
      <w:pPr>
        <w:pStyle w:val="56"/>
        <w:sectPr>
          <w:pgSz w:w="16838" w:h="11906" w:orient="landscape"/>
          <w:pgMar w:top="1800" w:right="1440" w:bottom="1800" w:left="1440" w:header="851" w:footer="992" w:gutter="0"/>
          <w:cols w:space="720" w:num="1"/>
          <w:docGrid w:type="lines" w:linePitch="326" w:charSpace="0"/>
        </w:sectPr>
      </w:pPr>
    </w:p>
    <w:p>
      <w:pPr>
        <w:pStyle w:val="2"/>
        <w:numPr>
          <w:ilvl w:val="0"/>
          <w:numId w:val="0"/>
        </w:numPr>
        <w:spacing w:before="163" w:beforeLines="50" w:after="163" w:afterLines="50"/>
        <w:jc w:val="both"/>
        <w:rPr>
          <w:sz w:val="28"/>
          <w:szCs w:val="28"/>
        </w:rPr>
      </w:pPr>
      <w:bookmarkStart w:id="154" w:name="_Toc122338534"/>
      <w:r>
        <w:rPr>
          <w:rFonts w:hint="eastAsia"/>
          <w:sz w:val="28"/>
          <w:szCs w:val="28"/>
        </w:rPr>
        <w:t>附图8</w:t>
      </w:r>
      <w:r>
        <w:rPr>
          <w:sz w:val="28"/>
          <w:szCs w:val="28"/>
        </w:rPr>
        <w:t xml:space="preserve">  </w:t>
      </w:r>
      <w:r>
        <w:rPr>
          <w:rFonts w:hint="eastAsia"/>
          <w:sz w:val="28"/>
          <w:szCs w:val="28"/>
        </w:rPr>
        <w:t>大气环境功能区划图</w:t>
      </w:r>
      <w:bookmarkEnd w:id="154"/>
    </w:p>
    <w:p>
      <w:pPr>
        <w:pStyle w:val="56"/>
      </w:pPr>
      <w:r>
        <w:drawing>
          <wp:inline distT="0" distB="0" distL="0" distR="0">
            <wp:extent cx="5274310" cy="5880735"/>
            <wp:effectExtent l="0" t="0" r="254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0" cstate="email"/>
                    <a:stretch>
                      <a:fillRect/>
                    </a:stretch>
                  </pic:blipFill>
                  <pic:spPr>
                    <a:xfrm>
                      <a:off x="0" y="0"/>
                      <a:ext cx="5274310" cy="5880735"/>
                    </a:xfrm>
                    <a:prstGeom prst="rect">
                      <a:avLst/>
                    </a:prstGeom>
                  </pic:spPr>
                </pic:pic>
              </a:graphicData>
            </a:graphic>
          </wp:inline>
        </w:drawing>
      </w:r>
    </w:p>
    <w:p>
      <w:pPr>
        <w:widowControl/>
        <w:adjustRightInd/>
        <w:snapToGrid/>
        <w:spacing w:line="240" w:lineRule="auto"/>
        <w:ind w:firstLine="0" w:firstLineChars="0"/>
        <w:jc w:val="left"/>
        <w:rPr>
          <w:lang w:val="zh-CN" w:eastAsia="zh-CN"/>
        </w:rPr>
      </w:pPr>
      <w:r>
        <w:rPr>
          <w:lang w:val="zh-CN" w:eastAsia="zh-CN"/>
        </w:rPr>
        <w:br w:type="page"/>
      </w:r>
    </w:p>
    <w:p>
      <w:pPr>
        <w:pStyle w:val="2"/>
        <w:numPr>
          <w:ilvl w:val="0"/>
          <w:numId w:val="0"/>
        </w:numPr>
        <w:spacing w:before="163" w:beforeLines="50" w:after="163" w:afterLines="50"/>
        <w:jc w:val="both"/>
        <w:rPr>
          <w:sz w:val="28"/>
          <w:szCs w:val="28"/>
        </w:rPr>
      </w:pPr>
      <w:bookmarkStart w:id="155" w:name="_Toc122338535"/>
      <w:r>
        <w:rPr>
          <w:rFonts w:hint="eastAsia"/>
          <w:sz w:val="28"/>
          <w:szCs w:val="28"/>
          <w:lang w:eastAsia="zh-CN"/>
        </w:rPr>
        <w:t>附图</w:t>
      </w:r>
      <w:r>
        <w:rPr>
          <w:rFonts w:hint="eastAsia"/>
          <w:sz w:val="28"/>
          <w:szCs w:val="28"/>
        </w:rPr>
        <w:t>9</w:t>
      </w:r>
      <w:r>
        <w:rPr>
          <w:sz w:val="28"/>
          <w:szCs w:val="28"/>
        </w:rPr>
        <w:t xml:space="preserve">  </w:t>
      </w:r>
      <w:r>
        <w:rPr>
          <w:rFonts w:hint="eastAsia"/>
          <w:sz w:val="28"/>
          <w:szCs w:val="28"/>
        </w:rPr>
        <w:t>地表水环境功能区划图</w:t>
      </w:r>
      <w:bookmarkEnd w:id="155"/>
    </w:p>
    <w:p>
      <w:pPr>
        <w:pStyle w:val="56"/>
      </w:pPr>
      <w:r>
        <w:drawing>
          <wp:inline distT="0" distB="0" distL="0" distR="0">
            <wp:extent cx="5274310" cy="6372225"/>
            <wp:effectExtent l="0" t="0" r="254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1" cstate="email"/>
                    <a:stretch>
                      <a:fillRect/>
                    </a:stretch>
                  </pic:blipFill>
                  <pic:spPr>
                    <a:xfrm>
                      <a:off x="0" y="0"/>
                      <a:ext cx="5274310" cy="6372225"/>
                    </a:xfrm>
                    <a:prstGeom prst="rect">
                      <a:avLst/>
                    </a:prstGeom>
                  </pic:spPr>
                </pic:pic>
              </a:graphicData>
            </a:graphic>
          </wp:inline>
        </w:drawing>
      </w:r>
    </w:p>
    <w:p>
      <w:pPr>
        <w:widowControl/>
        <w:adjustRightInd/>
        <w:snapToGrid/>
        <w:spacing w:line="240" w:lineRule="auto"/>
        <w:ind w:firstLine="0" w:firstLineChars="0"/>
        <w:jc w:val="left"/>
        <w:rPr>
          <w:lang w:val="zh-CN" w:eastAsia="zh-CN"/>
        </w:rPr>
        <w:sectPr>
          <w:pgSz w:w="11906" w:h="16838"/>
          <w:pgMar w:top="1440" w:right="1800" w:bottom="1440" w:left="1800" w:header="851" w:footer="992" w:gutter="0"/>
          <w:cols w:space="720" w:num="1"/>
          <w:docGrid w:type="lines" w:linePitch="326" w:charSpace="0"/>
        </w:sectPr>
      </w:pPr>
    </w:p>
    <w:p>
      <w:pPr>
        <w:pStyle w:val="2"/>
        <w:numPr>
          <w:ilvl w:val="0"/>
          <w:numId w:val="0"/>
        </w:numPr>
        <w:spacing w:before="163" w:beforeLines="50" w:after="163" w:afterLines="50"/>
        <w:jc w:val="both"/>
        <w:rPr>
          <w:sz w:val="28"/>
          <w:szCs w:val="28"/>
        </w:rPr>
      </w:pPr>
      <w:bookmarkStart w:id="156" w:name="_Toc122338536"/>
      <w:r>
        <w:rPr>
          <w:rFonts w:hint="eastAsia"/>
          <w:sz w:val="28"/>
          <w:szCs w:val="28"/>
          <w:lang w:eastAsia="zh-CN"/>
        </w:rPr>
        <w:t>附图</w:t>
      </w:r>
      <w:r>
        <w:rPr>
          <w:rFonts w:hint="eastAsia"/>
          <w:sz w:val="28"/>
          <w:szCs w:val="28"/>
        </w:rPr>
        <w:t>1</w:t>
      </w:r>
      <w:r>
        <w:rPr>
          <w:sz w:val="28"/>
          <w:szCs w:val="28"/>
        </w:rPr>
        <w:t xml:space="preserve">0  </w:t>
      </w:r>
      <w:r>
        <w:rPr>
          <w:rFonts w:hint="eastAsia"/>
          <w:sz w:val="28"/>
          <w:szCs w:val="28"/>
        </w:rPr>
        <w:t>项目声环境功能区划图</w:t>
      </w:r>
      <w:bookmarkEnd w:id="156"/>
    </w:p>
    <w:p>
      <w:pPr>
        <w:pStyle w:val="56"/>
        <w:sectPr>
          <w:pgSz w:w="16838" w:h="11906" w:orient="landscape"/>
          <w:pgMar w:top="1800" w:right="1440" w:bottom="1800" w:left="1440" w:header="851" w:footer="992" w:gutter="0"/>
          <w:cols w:space="720" w:num="1"/>
          <w:docGrid w:type="lines" w:linePitch="326" w:charSpace="0"/>
        </w:sectPr>
      </w:pPr>
      <w:r>
        <w:drawing>
          <wp:inline distT="0" distB="0" distL="0" distR="0">
            <wp:extent cx="6725920" cy="47383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2" cstate="email"/>
                    <a:stretch>
                      <a:fillRect/>
                    </a:stretch>
                  </pic:blipFill>
                  <pic:spPr>
                    <a:xfrm>
                      <a:off x="0" y="0"/>
                      <a:ext cx="6758074" cy="4761407"/>
                    </a:xfrm>
                    <a:prstGeom prst="rect">
                      <a:avLst/>
                    </a:prstGeom>
                  </pic:spPr>
                </pic:pic>
              </a:graphicData>
            </a:graphic>
          </wp:inline>
        </w:drawing>
      </w:r>
    </w:p>
    <w:p>
      <w:pPr>
        <w:pStyle w:val="2"/>
        <w:numPr>
          <w:ilvl w:val="0"/>
          <w:numId w:val="0"/>
        </w:numPr>
        <w:spacing w:before="163" w:beforeLines="50" w:after="163" w:afterLines="50"/>
        <w:jc w:val="both"/>
        <w:rPr>
          <w:sz w:val="28"/>
          <w:szCs w:val="28"/>
        </w:rPr>
      </w:pPr>
      <w:bookmarkStart w:id="157" w:name="_Toc122338537"/>
      <w:r>
        <w:rPr>
          <w:rFonts w:hint="eastAsia"/>
          <w:sz w:val="28"/>
          <w:szCs w:val="28"/>
          <w:lang w:eastAsia="zh-CN"/>
        </w:rPr>
        <w:t>附图1</w:t>
      </w:r>
      <w:r>
        <w:rPr>
          <w:sz w:val="28"/>
          <w:szCs w:val="28"/>
          <w:lang w:eastAsia="zh-CN"/>
        </w:rPr>
        <w:t xml:space="preserve">1  </w:t>
      </w:r>
      <w:r>
        <w:rPr>
          <w:rFonts w:hint="eastAsia"/>
          <w:sz w:val="28"/>
          <w:szCs w:val="28"/>
        </w:rPr>
        <w:t>项目噪声、</w:t>
      </w:r>
      <w:r>
        <w:rPr>
          <w:rFonts w:hint="eastAsia"/>
          <w:sz w:val="28"/>
          <w:szCs w:val="28"/>
          <w:lang w:eastAsia="zh-CN"/>
        </w:rPr>
        <w:t>环境空气质量</w:t>
      </w:r>
      <w:r>
        <w:rPr>
          <w:rFonts w:hint="eastAsia"/>
          <w:sz w:val="28"/>
          <w:szCs w:val="28"/>
        </w:rPr>
        <w:t>监测布点图</w:t>
      </w:r>
      <w:bookmarkEnd w:id="157"/>
    </w:p>
    <w:p>
      <w:pPr>
        <w:pStyle w:val="56"/>
        <w:sectPr>
          <w:pgSz w:w="16838" w:h="11906" w:orient="landscape"/>
          <w:pgMar w:top="1800" w:right="1440" w:bottom="1800" w:left="1440" w:header="851" w:footer="992" w:gutter="0"/>
          <w:cols w:space="720" w:num="1"/>
          <w:docGrid w:type="lines" w:linePitch="326" w:charSpace="0"/>
        </w:sectPr>
      </w:pPr>
      <w:r>
        <w:drawing>
          <wp:inline distT="0" distB="0" distL="0" distR="0">
            <wp:extent cx="7410450" cy="4780915"/>
            <wp:effectExtent l="0" t="0" r="0" b="63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63" cstate="email"/>
                    <a:stretch>
                      <a:fillRect/>
                    </a:stretch>
                  </pic:blipFill>
                  <pic:spPr>
                    <a:xfrm>
                      <a:off x="0" y="0"/>
                      <a:ext cx="7431845" cy="4795223"/>
                    </a:xfrm>
                    <a:prstGeom prst="rect">
                      <a:avLst/>
                    </a:prstGeom>
                    <a:noFill/>
                    <a:ln w="9525">
                      <a:noFill/>
                    </a:ln>
                  </pic:spPr>
                </pic:pic>
              </a:graphicData>
            </a:graphic>
          </wp:inline>
        </w:drawing>
      </w:r>
    </w:p>
    <w:p>
      <w:pPr>
        <w:pStyle w:val="2"/>
        <w:numPr>
          <w:ilvl w:val="0"/>
          <w:numId w:val="0"/>
        </w:numPr>
        <w:spacing w:before="163" w:beforeLines="50" w:after="163" w:afterLines="50"/>
        <w:jc w:val="both"/>
        <w:rPr>
          <w:sz w:val="28"/>
          <w:szCs w:val="28"/>
        </w:rPr>
      </w:pPr>
      <w:bookmarkStart w:id="158" w:name="_Toc122338538"/>
      <w:r>
        <w:rPr>
          <w:rFonts w:hint="eastAsia"/>
          <w:sz w:val="28"/>
          <w:szCs w:val="28"/>
        </w:rPr>
        <w:t>附件1</w:t>
      </w:r>
      <w:r>
        <w:rPr>
          <w:sz w:val="28"/>
          <w:szCs w:val="28"/>
        </w:rPr>
        <w:t xml:space="preserve">  </w:t>
      </w:r>
      <w:r>
        <w:rPr>
          <w:rFonts w:hint="eastAsia"/>
          <w:sz w:val="28"/>
          <w:szCs w:val="28"/>
        </w:rPr>
        <w:t>营业执照</w:t>
      </w:r>
      <w:bookmarkEnd w:id="158"/>
    </w:p>
    <w:p>
      <w:pPr>
        <w:pStyle w:val="56"/>
        <w:sectPr>
          <w:pgSz w:w="16838" w:h="11906" w:orient="landscape"/>
          <w:pgMar w:top="1800" w:right="1440" w:bottom="1800" w:left="1440" w:header="851" w:footer="992" w:gutter="0"/>
          <w:cols w:space="720" w:num="1"/>
          <w:docGrid w:type="lines" w:linePitch="326" w:charSpace="0"/>
        </w:sectPr>
      </w:pPr>
      <w:r>
        <w:drawing>
          <wp:inline distT="0" distB="0" distL="0" distR="0">
            <wp:extent cx="6214110" cy="4519930"/>
            <wp:effectExtent l="0" t="0" r="0" b="0"/>
            <wp:docPr id="64" name="图片 64" descr="C:\Users\ADMINI~1\AppData\Local\Temp\WeChat Files\0ecafc1cac92e01723bc699b2228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1\AppData\Local\Temp\WeChat Files\0ecafc1cac92e01723bc699b2228855.jpg"/>
                    <pic:cNvPicPr>
                      <a:picLocks noChangeAspect="1" noChangeArrowheads="1"/>
                    </pic:cNvPicPr>
                  </pic:nvPicPr>
                  <pic:blipFill>
                    <a:blip r:embed="rId64" cstate="email"/>
                    <a:srcRect/>
                    <a:stretch>
                      <a:fillRect/>
                    </a:stretch>
                  </pic:blipFill>
                  <pic:spPr>
                    <a:xfrm>
                      <a:off x="0" y="0"/>
                      <a:ext cx="6224457" cy="4527472"/>
                    </a:xfrm>
                    <a:prstGeom prst="rect">
                      <a:avLst/>
                    </a:prstGeom>
                    <a:noFill/>
                    <a:ln>
                      <a:noFill/>
                    </a:ln>
                  </pic:spPr>
                </pic:pic>
              </a:graphicData>
            </a:graphic>
          </wp:inline>
        </w:drawing>
      </w:r>
    </w:p>
    <w:p>
      <w:pPr>
        <w:pStyle w:val="2"/>
        <w:numPr>
          <w:ilvl w:val="0"/>
          <w:numId w:val="0"/>
        </w:numPr>
        <w:spacing w:before="163" w:beforeLines="50" w:after="163" w:afterLines="50"/>
        <w:jc w:val="both"/>
      </w:pPr>
      <w:bookmarkStart w:id="159" w:name="_Toc122338539"/>
      <w:r>
        <w:rPr>
          <w:rFonts w:hint="eastAsia"/>
        </w:rPr>
        <w:t>附件2</w:t>
      </w:r>
      <w:r>
        <w:t xml:space="preserve">  </w:t>
      </w:r>
      <w:r>
        <w:rPr>
          <w:rFonts w:hint="eastAsia"/>
        </w:rPr>
        <w:t>法人身份证</w:t>
      </w:r>
      <w:bookmarkEnd w:id="159"/>
    </w:p>
    <w:p>
      <w:pPr>
        <w:pStyle w:val="56"/>
      </w:pPr>
    </w:p>
    <w:p>
      <w:pPr>
        <w:widowControl/>
        <w:adjustRightInd/>
        <w:snapToGrid/>
        <w:spacing w:line="240" w:lineRule="auto"/>
        <w:ind w:firstLine="0" w:firstLineChars="0"/>
        <w:jc w:val="left"/>
        <w:rPr>
          <w:lang w:val="zh-CN" w:eastAsia="zh-CN"/>
        </w:rPr>
      </w:pPr>
      <w:r>
        <w:rPr>
          <w:lang w:val="zh-CN" w:eastAsia="zh-CN"/>
        </w:rPr>
        <w:br w:type="page"/>
      </w:r>
    </w:p>
    <w:p>
      <w:pPr>
        <w:pStyle w:val="2"/>
        <w:numPr>
          <w:ilvl w:val="0"/>
          <w:numId w:val="0"/>
        </w:numPr>
        <w:spacing w:before="163" w:beforeLines="50" w:after="163" w:afterLines="50"/>
        <w:jc w:val="both"/>
        <w:rPr>
          <w:sz w:val="28"/>
          <w:szCs w:val="28"/>
          <w:lang w:eastAsia="zh-CN"/>
        </w:rPr>
      </w:pPr>
      <w:bookmarkStart w:id="160" w:name="_Toc122338540"/>
      <w:r>
        <w:rPr>
          <w:rFonts w:hint="eastAsia"/>
          <w:sz w:val="28"/>
          <w:szCs w:val="28"/>
          <w:lang w:eastAsia="zh-CN"/>
        </w:rPr>
        <w:t>附件3</w:t>
      </w:r>
      <w:r>
        <w:rPr>
          <w:sz w:val="28"/>
          <w:szCs w:val="28"/>
          <w:lang w:eastAsia="zh-CN"/>
        </w:rPr>
        <w:t xml:space="preserve">  </w:t>
      </w:r>
      <w:r>
        <w:rPr>
          <w:rFonts w:hint="eastAsia"/>
          <w:sz w:val="28"/>
          <w:szCs w:val="28"/>
          <w:lang w:eastAsia="zh-CN"/>
        </w:rPr>
        <w:t>土地证</w:t>
      </w:r>
      <w:bookmarkEnd w:id="160"/>
    </w:p>
    <w:p>
      <w:pPr>
        <w:pStyle w:val="56"/>
      </w:pPr>
      <w:r>
        <w:drawing>
          <wp:inline distT="0" distB="0" distL="0" distR="0">
            <wp:extent cx="5273675" cy="7581265"/>
            <wp:effectExtent l="0" t="0" r="3175" b="635"/>
            <wp:docPr id="22" name="图片 22" descr="C:\Users\ADMINI~1\AppData\Local\Temp\WeChat Files\92921cb0f05a6e55897dd8b5e291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WeChat Files\92921cb0f05a6e55897dd8b5e291484.png"/>
                    <pic:cNvPicPr>
                      <a:picLocks noChangeAspect="1" noChangeArrowheads="1"/>
                    </pic:cNvPicPr>
                  </pic:nvPicPr>
                  <pic:blipFill>
                    <a:blip r:embed="rId65" cstate="email"/>
                    <a:srcRect/>
                    <a:stretch>
                      <a:fillRect/>
                    </a:stretch>
                  </pic:blipFill>
                  <pic:spPr>
                    <a:xfrm>
                      <a:off x="0" y="0"/>
                      <a:ext cx="5273675" cy="7581265"/>
                    </a:xfrm>
                    <a:prstGeom prst="rect">
                      <a:avLst/>
                    </a:prstGeom>
                    <a:noFill/>
                    <a:ln>
                      <a:noFill/>
                    </a:ln>
                  </pic:spPr>
                </pic:pic>
              </a:graphicData>
            </a:graphic>
          </wp:inline>
        </w:drawing>
      </w:r>
      <w:r>
        <w:drawing>
          <wp:inline distT="0" distB="0" distL="0" distR="0">
            <wp:extent cx="5273675" cy="6741160"/>
            <wp:effectExtent l="0" t="0" r="3175" b="2540"/>
            <wp:docPr id="31" name="图片 31" descr="C:\Users\ADMINI~1\AppData\Local\Temp\WeChat Files\8c05e22f49b4e33b614a858e93c15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8c05e22f49b4e33b614a858e93c15c4.png"/>
                    <pic:cNvPicPr>
                      <a:picLocks noChangeAspect="1" noChangeArrowheads="1"/>
                    </pic:cNvPicPr>
                  </pic:nvPicPr>
                  <pic:blipFill>
                    <a:blip r:embed="rId66" cstate="email"/>
                    <a:srcRect/>
                    <a:stretch>
                      <a:fillRect/>
                    </a:stretch>
                  </pic:blipFill>
                  <pic:spPr>
                    <a:xfrm>
                      <a:off x="0" y="0"/>
                      <a:ext cx="5273675" cy="6741160"/>
                    </a:xfrm>
                    <a:prstGeom prst="rect">
                      <a:avLst/>
                    </a:prstGeom>
                    <a:noFill/>
                    <a:ln>
                      <a:noFill/>
                    </a:ln>
                  </pic:spPr>
                </pic:pic>
              </a:graphicData>
            </a:graphic>
          </wp:inline>
        </w:drawing>
      </w:r>
      <w:r>
        <w:drawing>
          <wp:inline distT="0" distB="0" distL="0" distR="0">
            <wp:extent cx="5273675" cy="6485890"/>
            <wp:effectExtent l="0" t="0" r="3175" b="0"/>
            <wp:docPr id="32" name="图片 32" descr="C:\Users\ADMINI~1\AppData\Local\Temp\WeChat Files\f28181cc5b57df6fe2455c18624f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1\AppData\Local\Temp\WeChat Files\f28181cc5b57df6fe2455c18624f276.png"/>
                    <pic:cNvPicPr>
                      <a:picLocks noChangeAspect="1" noChangeArrowheads="1"/>
                    </pic:cNvPicPr>
                  </pic:nvPicPr>
                  <pic:blipFill>
                    <a:blip r:embed="rId67" cstate="email"/>
                    <a:srcRect/>
                    <a:stretch>
                      <a:fillRect/>
                    </a:stretch>
                  </pic:blipFill>
                  <pic:spPr>
                    <a:xfrm>
                      <a:off x="0" y="0"/>
                      <a:ext cx="5273675" cy="6485890"/>
                    </a:xfrm>
                    <a:prstGeom prst="rect">
                      <a:avLst/>
                    </a:prstGeom>
                    <a:noFill/>
                    <a:ln>
                      <a:noFill/>
                    </a:ln>
                  </pic:spPr>
                </pic:pic>
              </a:graphicData>
            </a:graphic>
          </wp:inline>
        </w:drawing>
      </w:r>
      <w:r>
        <w:drawing>
          <wp:inline distT="0" distB="0" distL="0" distR="0">
            <wp:extent cx="5273675" cy="6762115"/>
            <wp:effectExtent l="0" t="0" r="3175" b="635"/>
            <wp:docPr id="33" name="图片 33" descr="C:\Users\ADMINI~1\AppData\Local\Temp\WeChat Files\66aac37c0951c70358b94ab86168e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WeChat Files\66aac37c0951c70358b94ab86168ed0.png"/>
                    <pic:cNvPicPr>
                      <a:picLocks noChangeAspect="1" noChangeArrowheads="1"/>
                    </pic:cNvPicPr>
                  </pic:nvPicPr>
                  <pic:blipFill>
                    <a:blip r:embed="rId68" cstate="email"/>
                    <a:srcRect/>
                    <a:stretch>
                      <a:fillRect/>
                    </a:stretch>
                  </pic:blipFill>
                  <pic:spPr>
                    <a:xfrm>
                      <a:off x="0" y="0"/>
                      <a:ext cx="5273675" cy="6762115"/>
                    </a:xfrm>
                    <a:prstGeom prst="rect">
                      <a:avLst/>
                    </a:prstGeom>
                    <a:noFill/>
                    <a:ln>
                      <a:noFill/>
                    </a:ln>
                  </pic:spPr>
                </pic:pic>
              </a:graphicData>
            </a:graphic>
          </wp:inline>
        </w:drawing>
      </w:r>
      <w:r>
        <w:drawing>
          <wp:inline distT="0" distB="0" distL="0" distR="0">
            <wp:extent cx="5273675" cy="7442835"/>
            <wp:effectExtent l="0" t="0" r="3175" b="5715"/>
            <wp:docPr id="38" name="图片 38" descr="C:\Users\ADMINI~1\AppData\Local\Temp\WeChat Files\efbdfb056597928dea01cba6db92a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WeChat Files\efbdfb056597928dea01cba6db92ae7.png"/>
                    <pic:cNvPicPr>
                      <a:picLocks noChangeAspect="1" noChangeArrowheads="1"/>
                    </pic:cNvPicPr>
                  </pic:nvPicPr>
                  <pic:blipFill>
                    <a:blip r:embed="rId69" cstate="email"/>
                    <a:srcRect/>
                    <a:stretch>
                      <a:fillRect/>
                    </a:stretch>
                  </pic:blipFill>
                  <pic:spPr>
                    <a:xfrm>
                      <a:off x="0" y="0"/>
                      <a:ext cx="5273675" cy="7442835"/>
                    </a:xfrm>
                    <a:prstGeom prst="rect">
                      <a:avLst/>
                    </a:prstGeom>
                    <a:noFill/>
                    <a:ln>
                      <a:noFill/>
                    </a:ln>
                  </pic:spPr>
                </pic:pic>
              </a:graphicData>
            </a:graphic>
          </wp:inline>
        </w:drawing>
      </w:r>
    </w:p>
    <w:p>
      <w:pPr>
        <w:pStyle w:val="56"/>
      </w:pPr>
    </w:p>
    <w:p>
      <w:pPr>
        <w:ind w:firstLine="480"/>
        <w:rPr>
          <w:lang w:val="zh-CN" w:eastAsia="zh-CN"/>
        </w:rPr>
        <w:sectPr>
          <w:pgSz w:w="11906" w:h="16838"/>
          <w:pgMar w:top="1440" w:right="1800" w:bottom="1440" w:left="1800" w:header="851" w:footer="992" w:gutter="0"/>
          <w:cols w:space="720" w:num="1"/>
          <w:docGrid w:type="lines" w:linePitch="326" w:charSpace="0"/>
        </w:sectPr>
      </w:pPr>
    </w:p>
    <w:p>
      <w:pPr>
        <w:pStyle w:val="2"/>
        <w:numPr>
          <w:ilvl w:val="0"/>
          <w:numId w:val="0"/>
        </w:numPr>
        <w:spacing w:before="163" w:beforeLines="50" w:after="163" w:afterLines="50"/>
        <w:jc w:val="both"/>
        <w:rPr>
          <w:sz w:val="28"/>
          <w:szCs w:val="28"/>
          <w:lang w:eastAsia="zh-CN"/>
        </w:rPr>
      </w:pPr>
      <w:bookmarkStart w:id="161" w:name="_Toc122338541"/>
      <w:r>
        <w:rPr>
          <w:rFonts w:hint="eastAsia"/>
          <w:sz w:val="28"/>
          <w:szCs w:val="28"/>
          <w:lang w:eastAsia="zh-CN"/>
        </w:rPr>
        <w:t>附件4</w:t>
      </w:r>
      <w:r>
        <w:rPr>
          <w:sz w:val="28"/>
          <w:szCs w:val="28"/>
          <w:lang w:eastAsia="zh-CN"/>
        </w:rPr>
        <w:t xml:space="preserve">  </w:t>
      </w:r>
      <w:r>
        <w:rPr>
          <w:rFonts w:hint="eastAsia"/>
          <w:sz w:val="28"/>
          <w:szCs w:val="28"/>
          <w:lang w:eastAsia="zh-CN"/>
        </w:rPr>
        <w:t>租赁合同</w:t>
      </w:r>
      <w:bookmarkEnd w:id="161"/>
    </w:p>
    <w:p>
      <w:pPr>
        <w:pStyle w:val="56"/>
      </w:pPr>
      <w:r>
        <w:drawing>
          <wp:inline distT="0" distB="0" distL="0" distR="0">
            <wp:extent cx="5274310" cy="7251700"/>
            <wp:effectExtent l="0" t="0" r="2540" b="6350"/>
            <wp:docPr id="2" name="图片 2" descr="C:\Users\ADMINI~1\AppData\Local\Temp\WeChat Files\7b203ec4ee8ee90405bddb3d1ed0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7b203ec4ee8ee90405bddb3d1ed0fba.jpg"/>
                    <pic:cNvPicPr>
                      <a:picLocks noChangeAspect="1" noChangeArrowheads="1"/>
                    </pic:cNvPicPr>
                  </pic:nvPicPr>
                  <pic:blipFill>
                    <a:blip r:embed="rId70" cstate="email"/>
                    <a:srcRect/>
                    <a:stretch>
                      <a:fillRect/>
                    </a:stretch>
                  </pic:blipFill>
                  <pic:spPr>
                    <a:xfrm>
                      <a:off x="0" y="0"/>
                      <a:ext cx="5274310" cy="7252176"/>
                    </a:xfrm>
                    <a:prstGeom prst="rect">
                      <a:avLst/>
                    </a:prstGeom>
                    <a:noFill/>
                    <a:ln>
                      <a:noFill/>
                    </a:ln>
                  </pic:spPr>
                </pic:pic>
              </a:graphicData>
            </a:graphic>
          </wp:inline>
        </w:drawing>
      </w:r>
    </w:p>
    <w:p>
      <w:pPr>
        <w:ind w:firstLine="480"/>
        <w:rPr>
          <w:lang w:val="zh-CN"/>
        </w:rPr>
      </w:pPr>
    </w:p>
    <w:p>
      <w:pPr>
        <w:ind w:firstLine="480"/>
        <w:rPr>
          <w:lang w:val="zh-CN"/>
        </w:rPr>
        <w:sectPr>
          <w:pgSz w:w="11906" w:h="16838"/>
          <w:pgMar w:top="1440" w:right="1800" w:bottom="1440" w:left="1800" w:header="851" w:footer="992" w:gutter="0"/>
          <w:cols w:space="720" w:num="1"/>
          <w:docGrid w:type="lines" w:linePitch="326" w:charSpace="0"/>
        </w:sectPr>
      </w:pPr>
    </w:p>
    <w:p>
      <w:pPr>
        <w:pStyle w:val="2"/>
        <w:numPr>
          <w:ilvl w:val="0"/>
          <w:numId w:val="0"/>
        </w:numPr>
        <w:spacing w:before="163" w:beforeLines="50" w:after="163" w:afterLines="50"/>
        <w:jc w:val="both"/>
        <w:rPr>
          <w:sz w:val="28"/>
          <w:szCs w:val="28"/>
          <w:lang w:eastAsia="zh-CN"/>
        </w:rPr>
      </w:pPr>
      <w:bookmarkStart w:id="162" w:name="_Toc122338542"/>
      <w:r>
        <w:rPr>
          <w:rFonts w:hint="eastAsia"/>
          <w:sz w:val="28"/>
          <w:szCs w:val="28"/>
          <w:lang w:eastAsia="zh-CN"/>
        </w:rPr>
        <w:t>附件5</w:t>
      </w:r>
      <w:r>
        <w:rPr>
          <w:sz w:val="28"/>
          <w:szCs w:val="28"/>
          <w:lang w:eastAsia="zh-CN"/>
        </w:rPr>
        <w:t xml:space="preserve">  </w:t>
      </w:r>
      <w:r>
        <w:rPr>
          <w:rFonts w:hint="eastAsia"/>
          <w:sz w:val="28"/>
          <w:szCs w:val="28"/>
          <w:lang w:eastAsia="zh-CN"/>
        </w:rPr>
        <w:t>备案证</w:t>
      </w:r>
      <w:bookmarkEnd w:id="162"/>
    </w:p>
    <w:p>
      <w:pPr>
        <w:pStyle w:val="56"/>
      </w:pPr>
      <w:r>
        <w:drawing>
          <wp:inline distT="0" distB="0" distL="0" distR="0">
            <wp:extent cx="6519545" cy="4660900"/>
            <wp:effectExtent l="0" t="0" r="0" b="6350"/>
            <wp:docPr id="7" name="图片 7" descr="E:\微信文件\WeChat Files\wxid_2b3cst8mfxqv22\FileStorage\Temp\167107041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微信文件\WeChat Files\wxid_2b3cst8mfxqv22\FileStorage\Temp\1671070411117.png"/>
                    <pic:cNvPicPr>
                      <a:picLocks noChangeAspect="1" noChangeArrowheads="1"/>
                    </pic:cNvPicPr>
                  </pic:nvPicPr>
                  <pic:blipFill>
                    <a:blip r:embed="rId71" cstate="email"/>
                    <a:srcRect/>
                    <a:stretch>
                      <a:fillRect/>
                    </a:stretch>
                  </pic:blipFill>
                  <pic:spPr>
                    <a:xfrm>
                      <a:off x="0" y="0"/>
                      <a:ext cx="6544470" cy="4678403"/>
                    </a:xfrm>
                    <a:prstGeom prst="rect">
                      <a:avLst/>
                    </a:prstGeom>
                    <a:noFill/>
                    <a:ln>
                      <a:noFill/>
                    </a:ln>
                  </pic:spPr>
                </pic:pic>
              </a:graphicData>
            </a:graphic>
          </wp:inline>
        </w:drawing>
      </w:r>
    </w:p>
    <w:p>
      <w:pPr>
        <w:ind w:firstLine="480"/>
        <w:rPr>
          <w:lang w:val="zh-CN" w:eastAsia="zh-CN"/>
        </w:rPr>
        <w:sectPr>
          <w:pgSz w:w="16838" w:h="11906" w:orient="landscape"/>
          <w:pgMar w:top="1800" w:right="1440" w:bottom="1800" w:left="1440" w:header="851" w:footer="992" w:gutter="0"/>
          <w:cols w:space="720" w:num="1"/>
          <w:docGrid w:type="lines" w:linePitch="326" w:charSpace="0"/>
        </w:sectPr>
      </w:pPr>
    </w:p>
    <w:p>
      <w:pPr>
        <w:pStyle w:val="2"/>
        <w:numPr>
          <w:ilvl w:val="0"/>
          <w:numId w:val="0"/>
        </w:numPr>
        <w:spacing w:before="163" w:beforeLines="50" w:after="163" w:afterLines="50"/>
        <w:jc w:val="both"/>
        <w:rPr>
          <w:sz w:val="28"/>
          <w:szCs w:val="28"/>
          <w:lang w:eastAsia="zh-CN"/>
        </w:rPr>
      </w:pPr>
      <w:bookmarkStart w:id="163" w:name="_Toc122338543"/>
      <w:r>
        <w:rPr>
          <w:rFonts w:hint="eastAsia"/>
          <w:sz w:val="28"/>
          <w:szCs w:val="28"/>
          <w:lang w:eastAsia="zh-CN"/>
        </w:rPr>
        <w:t>附件6</w:t>
      </w:r>
      <w:r>
        <w:rPr>
          <w:sz w:val="28"/>
          <w:szCs w:val="28"/>
        </w:rPr>
        <w:t xml:space="preserve">  </w:t>
      </w:r>
      <w:r>
        <w:rPr>
          <w:rFonts w:hint="eastAsia"/>
          <w:sz w:val="28"/>
          <w:szCs w:val="28"/>
          <w:lang w:eastAsia="zh-CN"/>
        </w:rPr>
        <w:t>检验室等级有关事项的复函</w:t>
      </w:r>
      <w:bookmarkEnd w:id="163"/>
    </w:p>
    <w:p>
      <w:pPr>
        <w:pStyle w:val="56"/>
      </w:pPr>
      <w:r>
        <w:drawing>
          <wp:inline distT="0" distB="0" distL="0" distR="0">
            <wp:extent cx="5274310" cy="7321550"/>
            <wp:effectExtent l="0" t="0" r="2540" b="0"/>
            <wp:docPr id="42" name="图片 42" descr="E:\微信文件\WeChat Files\wxid_2b3cst8mfxqv22\FileStorage\Temp\1669948516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微信文件\WeChat Files\wxid_2b3cst8mfxqv22\FileStorage\Temp\1669948516190.png"/>
                    <pic:cNvPicPr>
                      <a:picLocks noChangeAspect="1" noChangeArrowheads="1"/>
                    </pic:cNvPicPr>
                  </pic:nvPicPr>
                  <pic:blipFill>
                    <a:blip r:embed="rId72" cstate="email"/>
                    <a:srcRect/>
                    <a:stretch>
                      <a:fillRect/>
                    </a:stretch>
                  </pic:blipFill>
                  <pic:spPr>
                    <a:xfrm>
                      <a:off x="0" y="0"/>
                      <a:ext cx="5274310" cy="7322030"/>
                    </a:xfrm>
                    <a:prstGeom prst="rect">
                      <a:avLst/>
                    </a:prstGeom>
                    <a:noFill/>
                    <a:ln>
                      <a:noFill/>
                    </a:ln>
                  </pic:spPr>
                </pic:pic>
              </a:graphicData>
            </a:graphic>
          </wp:inline>
        </w:drawing>
      </w:r>
    </w:p>
    <w:p>
      <w:pPr>
        <w:widowControl/>
        <w:adjustRightInd/>
        <w:snapToGrid/>
        <w:spacing w:line="240" w:lineRule="auto"/>
        <w:ind w:firstLine="0" w:firstLineChars="0"/>
        <w:jc w:val="left"/>
        <w:rPr>
          <w:lang w:val="zh-CN" w:eastAsia="zh-CN"/>
        </w:rPr>
      </w:pPr>
      <w:r>
        <w:rPr>
          <w:lang w:val="zh-CN" w:eastAsia="zh-CN"/>
        </w:rPr>
        <w:br w:type="page"/>
      </w:r>
    </w:p>
    <w:p>
      <w:pPr>
        <w:pStyle w:val="2"/>
        <w:numPr>
          <w:ilvl w:val="0"/>
          <w:numId w:val="0"/>
        </w:numPr>
        <w:spacing w:before="163" w:beforeLines="50" w:after="163" w:afterLines="50"/>
        <w:jc w:val="both"/>
        <w:rPr>
          <w:sz w:val="28"/>
          <w:szCs w:val="28"/>
        </w:rPr>
      </w:pPr>
      <w:bookmarkStart w:id="164" w:name="_Toc122338544"/>
      <w:r>
        <w:rPr>
          <w:rFonts w:hint="eastAsia"/>
          <w:sz w:val="28"/>
          <w:szCs w:val="28"/>
          <w:lang w:eastAsia="zh-CN"/>
        </w:rPr>
        <w:t>附件7</w:t>
      </w:r>
      <w:r>
        <w:rPr>
          <w:sz w:val="28"/>
          <w:szCs w:val="28"/>
          <w:lang w:eastAsia="zh-CN"/>
        </w:rPr>
        <w:t xml:space="preserve">  </w:t>
      </w:r>
      <w:r>
        <w:rPr>
          <w:rFonts w:hint="eastAsia"/>
          <w:sz w:val="28"/>
          <w:szCs w:val="28"/>
        </w:rPr>
        <w:t>引用监测数据（摘录）</w:t>
      </w:r>
      <w:bookmarkEnd w:id="164"/>
    </w:p>
    <w:p>
      <w:pPr>
        <w:pStyle w:val="56"/>
      </w:pPr>
      <w:r>
        <w:drawing>
          <wp:inline distT="0" distB="0" distL="0" distR="0">
            <wp:extent cx="5274310" cy="6994525"/>
            <wp:effectExtent l="0" t="0" r="2540" b="0"/>
            <wp:docPr id="43" name="图片 43" descr="E:\微信文件\WeChat Files\wxid_2b3cst8mfxqv22\FileStorage\Temp\1669948638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微信文件\WeChat Files\wxid_2b3cst8mfxqv22\FileStorage\Temp\1669948638253.png"/>
                    <pic:cNvPicPr>
                      <a:picLocks noChangeAspect="1" noChangeArrowheads="1"/>
                    </pic:cNvPicPr>
                  </pic:nvPicPr>
                  <pic:blipFill>
                    <a:blip r:embed="rId73" cstate="email"/>
                    <a:srcRect/>
                    <a:stretch>
                      <a:fillRect/>
                    </a:stretch>
                  </pic:blipFill>
                  <pic:spPr>
                    <a:xfrm>
                      <a:off x="0" y="0"/>
                      <a:ext cx="5274310" cy="6994807"/>
                    </a:xfrm>
                    <a:prstGeom prst="rect">
                      <a:avLst/>
                    </a:prstGeom>
                    <a:noFill/>
                    <a:ln>
                      <a:noFill/>
                    </a:ln>
                  </pic:spPr>
                </pic:pic>
              </a:graphicData>
            </a:graphic>
          </wp:inline>
        </w:drawing>
      </w:r>
    </w:p>
    <w:p>
      <w:pPr>
        <w:pStyle w:val="56"/>
        <w:sectPr>
          <w:pgSz w:w="11906" w:h="16838"/>
          <w:pgMar w:top="1440" w:right="1800" w:bottom="1440" w:left="1800" w:header="851" w:footer="992" w:gutter="0"/>
          <w:cols w:space="720" w:num="1"/>
          <w:docGrid w:type="lines" w:linePitch="326" w:charSpace="0"/>
        </w:sectPr>
      </w:pPr>
      <w:r>
        <w:drawing>
          <wp:inline distT="0" distB="0" distL="0" distR="0">
            <wp:extent cx="5274310" cy="693229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4" cstate="email"/>
                    <a:stretch>
                      <a:fillRect/>
                    </a:stretch>
                  </pic:blipFill>
                  <pic:spPr>
                    <a:xfrm>
                      <a:off x="0" y="0"/>
                      <a:ext cx="5274310" cy="6932295"/>
                    </a:xfrm>
                    <a:prstGeom prst="rect">
                      <a:avLst/>
                    </a:prstGeom>
                  </pic:spPr>
                </pic:pic>
              </a:graphicData>
            </a:graphic>
          </wp:inline>
        </w:drawing>
      </w:r>
      <w:r>
        <w:rPr>
          <w:rFonts w:hint="eastAsia"/>
        </w:rPr>
        <w:drawing>
          <wp:inline distT="0" distB="0" distL="0" distR="0">
            <wp:extent cx="5270500" cy="7479030"/>
            <wp:effectExtent l="0" t="0" r="6350" b="7620"/>
            <wp:docPr id="45" name="图片 45" descr="C:\Users\ADMINI~1\AppData\Local\Temp\WeChat Files\0661c292a941e83cc1275ae863f7a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WeChat Files\0661c292a941e83cc1275ae863f7a8c.png"/>
                    <pic:cNvPicPr>
                      <a:picLocks noChangeAspect="1" noChangeArrowheads="1"/>
                    </pic:cNvPicPr>
                  </pic:nvPicPr>
                  <pic:blipFill>
                    <a:blip r:embed="rId75" cstate="email"/>
                    <a:srcRect/>
                    <a:stretch>
                      <a:fillRect/>
                    </a:stretch>
                  </pic:blipFill>
                  <pic:spPr>
                    <a:xfrm>
                      <a:off x="0" y="0"/>
                      <a:ext cx="5270500" cy="7479030"/>
                    </a:xfrm>
                    <a:prstGeom prst="rect">
                      <a:avLst/>
                    </a:prstGeom>
                    <a:noFill/>
                    <a:ln>
                      <a:noFill/>
                    </a:ln>
                  </pic:spPr>
                </pic:pic>
              </a:graphicData>
            </a:graphic>
          </wp:inline>
        </w:drawing>
      </w:r>
      <w:r>
        <w:rPr>
          <w:rFonts w:hint="eastAsia"/>
        </w:rPr>
        <w:drawing>
          <wp:inline distT="0" distB="0" distL="0" distR="0">
            <wp:extent cx="5270500" cy="7608570"/>
            <wp:effectExtent l="0" t="0" r="6350" b="0"/>
            <wp:docPr id="46" name="图片 46" descr="C:\Users\ADMINI~1\AppData\Local\Temp\WeChat Files\390dd303a1b1ddde1ae0ae5071125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1\AppData\Local\Temp\WeChat Files\390dd303a1b1ddde1ae0ae5071125ac.png"/>
                    <pic:cNvPicPr>
                      <a:picLocks noChangeAspect="1" noChangeArrowheads="1"/>
                    </pic:cNvPicPr>
                  </pic:nvPicPr>
                  <pic:blipFill>
                    <a:blip r:embed="rId76" cstate="email"/>
                    <a:srcRect/>
                    <a:stretch>
                      <a:fillRect/>
                    </a:stretch>
                  </pic:blipFill>
                  <pic:spPr>
                    <a:xfrm>
                      <a:off x="0" y="0"/>
                      <a:ext cx="5270500" cy="7608570"/>
                    </a:xfrm>
                    <a:prstGeom prst="rect">
                      <a:avLst/>
                    </a:prstGeom>
                    <a:noFill/>
                    <a:ln>
                      <a:noFill/>
                    </a:ln>
                  </pic:spPr>
                </pic:pic>
              </a:graphicData>
            </a:graphic>
          </wp:inline>
        </w:drawing>
      </w:r>
    </w:p>
    <w:p>
      <w:pPr>
        <w:pStyle w:val="56"/>
        <w:sectPr>
          <w:pgSz w:w="16838" w:h="11906" w:orient="landscape"/>
          <w:pgMar w:top="1800" w:right="1440" w:bottom="1800" w:left="1440" w:header="851" w:footer="992" w:gutter="0"/>
          <w:cols w:space="720" w:num="1"/>
          <w:docGrid w:type="lines" w:linePitch="326" w:charSpace="0"/>
        </w:sectPr>
      </w:pPr>
      <w:r>
        <w:rPr>
          <w:rFonts w:hint="eastAsia"/>
        </w:rPr>
        <w:drawing>
          <wp:inline distT="0" distB="0" distL="0" distR="0">
            <wp:extent cx="7280910" cy="5270500"/>
            <wp:effectExtent l="0" t="0" r="0" b="6350"/>
            <wp:docPr id="47" name="图片 47" descr="C:\Users\ADMINI~1\AppData\Local\Temp\WeChat Files\7fe209fe47e2fbc5f1c801a0b8ac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WeChat Files\7fe209fe47e2fbc5f1c801a0b8acfe1.png"/>
                    <pic:cNvPicPr>
                      <a:picLocks noChangeAspect="1" noChangeArrowheads="1"/>
                    </pic:cNvPicPr>
                  </pic:nvPicPr>
                  <pic:blipFill>
                    <a:blip r:embed="rId77" cstate="email"/>
                    <a:srcRect/>
                    <a:stretch>
                      <a:fillRect/>
                    </a:stretch>
                  </pic:blipFill>
                  <pic:spPr>
                    <a:xfrm>
                      <a:off x="0" y="0"/>
                      <a:ext cx="7280910" cy="5270500"/>
                    </a:xfrm>
                    <a:prstGeom prst="rect">
                      <a:avLst/>
                    </a:prstGeom>
                    <a:noFill/>
                    <a:ln>
                      <a:noFill/>
                    </a:ln>
                  </pic:spPr>
                </pic:pic>
              </a:graphicData>
            </a:graphic>
          </wp:inline>
        </w:drawing>
      </w:r>
    </w:p>
    <w:p>
      <w:pPr>
        <w:pStyle w:val="2"/>
        <w:numPr>
          <w:ilvl w:val="0"/>
          <w:numId w:val="0"/>
        </w:numPr>
        <w:spacing w:before="326" w:after="326"/>
        <w:jc w:val="both"/>
        <w:rPr>
          <w:lang w:eastAsia="zh-CN"/>
        </w:rPr>
      </w:pPr>
      <w:bookmarkStart w:id="165" w:name="_Toc122338545"/>
      <w:r>
        <w:rPr>
          <w:rFonts w:hint="eastAsia"/>
          <w:lang w:eastAsia="zh-CN"/>
        </w:rPr>
        <w:t>附件8</w:t>
      </w:r>
      <w:r>
        <w:rPr>
          <w:lang w:eastAsia="zh-CN"/>
        </w:rPr>
        <w:t xml:space="preserve">  </w:t>
      </w:r>
      <w:r>
        <w:rPr>
          <w:rFonts w:hint="eastAsia"/>
          <w:lang w:eastAsia="zh-CN"/>
        </w:rPr>
        <w:t>环境质量现状监测报告</w:t>
      </w:r>
      <w:bookmarkEnd w:id="165"/>
    </w:p>
    <w:p>
      <w:pPr>
        <w:pStyle w:val="56"/>
      </w:pPr>
      <w:r>
        <w:drawing>
          <wp:inline distT="0" distB="0" distL="0" distR="0">
            <wp:extent cx="5274310" cy="7367905"/>
            <wp:effectExtent l="0" t="0" r="254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cstate="email"/>
                    <a:stretch>
                      <a:fillRect/>
                    </a:stretch>
                  </pic:blipFill>
                  <pic:spPr>
                    <a:xfrm>
                      <a:off x="0" y="0"/>
                      <a:ext cx="5274310" cy="7367905"/>
                    </a:xfrm>
                    <a:prstGeom prst="rect">
                      <a:avLst/>
                    </a:prstGeom>
                  </pic:spPr>
                </pic:pic>
              </a:graphicData>
            </a:graphic>
          </wp:inline>
        </w:drawing>
      </w:r>
      <w:r>
        <w:drawing>
          <wp:inline distT="0" distB="0" distL="0" distR="0">
            <wp:extent cx="5274310" cy="741108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9" cstate="email"/>
                    <a:stretch>
                      <a:fillRect/>
                    </a:stretch>
                  </pic:blipFill>
                  <pic:spPr>
                    <a:xfrm>
                      <a:off x="0" y="0"/>
                      <a:ext cx="5274310" cy="7411085"/>
                    </a:xfrm>
                    <a:prstGeom prst="rect">
                      <a:avLst/>
                    </a:prstGeom>
                  </pic:spPr>
                </pic:pic>
              </a:graphicData>
            </a:graphic>
          </wp:inline>
        </w:drawing>
      </w:r>
      <w:r>
        <w:drawing>
          <wp:inline distT="0" distB="0" distL="0" distR="0">
            <wp:extent cx="5274310" cy="7371715"/>
            <wp:effectExtent l="0" t="0" r="254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0" cstate="email"/>
                    <a:stretch>
                      <a:fillRect/>
                    </a:stretch>
                  </pic:blipFill>
                  <pic:spPr>
                    <a:xfrm>
                      <a:off x="0" y="0"/>
                      <a:ext cx="5274310" cy="7371715"/>
                    </a:xfrm>
                    <a:prstGeom prst="rect">
                      <a:avLst/>
                    </a:prstGeom>
                  </pic:spPr>
                </pic:pic>
              </a:graphicData>
            </a:graphic>
          </wp:inline>
        </w:drawing>
      </w:r>
      <w:r>
        <w:drawing>
          <wp:inline distT="0" distB="0" distL="0" distR="0">
            <wp:extent cx="5274310" cy="7364730"/>
            <wp:effectExtent l="0" t="0" r="254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1" cstate="email"/>
                    <a:stretch>
                      <a:fillRect/>
                    </a:stretch>
                  </pic:blipFill>
                  <pic:spPr>
                    <a:xfrm>
                      <a:off x="0" y="0"/>
                      <a:ext cx="5274310" cy="7364730"/>
                    </a:xfrm>
                    <a:prstGeom prst="rect">
                      <a:avLst/>
                    </a:prstGeom>
                  </pic:spPr>
                </pic:pic>
              </a:graphicData>
            </a:graphic>
          </wp:inline>
        </w:drawing>
      </w:r>
      <w:r>
        <w:drawing>
          <wp:inline distT="0" distB="0" distL="0" distR="0">
            <wp:extent cx="5274310" cy="732409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2" cstate="email"/>
                    <a:stretch>
                      <a:fillRect/>
                    </a:stretch>
                  </pic:blipFill>
                  <pic:spPr>
                    <a:xfrm>
                      <a:off x="0" y="0"/>
                      <a:ext cx="5274310" cy="7324090"/>
                    </a:xfrm>
                    <a:prstGeom prst="rect">
                      <a:avLst/>
                    </a:prstGeom>
                  </pic:spPr>
                </pic:pic>
              </a:graphicData>
            </a:graphic>
          </wp:inline>
        </w:drawing>
      </w:r>
      <w:r>
        <w:drawing>
          <wp:inline distT="0" distB="0" distL="0" distR="0">
            <wp:extent cx="5274310" cy="744982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3" cstate="email"/>
                    <a:stretch>
                      <a:fillRect/>
                    </a:stretch>
                  </pic:blipFill>
                  <pic:spPr>
                    <a:xfrm>
                      <a:off x="0" y="0"/>
                      <a:ext cx="5274310" cy="7449820"/>
                    </a:xfrm>
                    <a:prstGeom prst="rect">
                      <a:avLst/>
                    </a:prstGeom>
                  </pic:spPr>
                </pic:pic>
              </a:graphicData>
            </a:graphic>
          </wp:inline>
        </w:drawing>
      </w:r>
    </w:p>
    <w:sectPr>
      <w:pgSz w:w="11906" w:h="16838"/>
      <w:pgMar w:top="1440" w:right="1800" w:bottom="1440" w:left="1800" w:header="851" w:footer="992"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宋体"/>
    <w:panose1 w:val="00000000000000000000"/>
    <w:charset w:val="86"/>
    <w:family w:val="script"/>
    <w:pitch w:val="default"/>
    <w:sig w:usb0="00000000" w:usb1="00000000" w:usb2="00000010" w:usb3="00000000" w:csb0="003C0040"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Helvetica">
    <w:panose1 w:val="020B0504020202030204"/>
    <w:charset w:val="00"/>
    <w:family w:val="swiss"/>
    <w:pitch w:val="default"/>
    <w:sig w:usb0="00000007" w:usb1="00000000" w:usb2="00000000" w:usb3="00000000" w:csb0="00000093" w:csb1="00000000"/>
  </w:font>
  <w:font w:name="CIDFont">
    <w:altName w:val="微软雅黑"/>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5923057"/>
      <w:docPartObj>
        <w:docPartGallery w:val="AutoText"/>
      </w:docPartObj>
    </w:sdtPr>
    <w:sdtContent>
      <w:p>
        <w:pPr>
          <w:pStyle w:val="24"/>
          <w:ind w:firstLine="360"/>
          <w:jc w:val="center"/>
        </w:pPr>
        <w:r>
          <w:fldChar w:fldCharType="begin"/>
        </w:r>
        <w:r>
          <w:instrText xml:space="preserve">PAGE   \* MERGEFORMAT</w:instrText>
        </w:r>
        <w:r>
          <w:fldChar w:fldCharType="separate"/>
        </w:r>
        <w:r>
          <w:rPr>
            <w:lang w:val="zh-CN" w:eastAsia="zh-CN"/>
          </w:rPr>
          <w:t>2</w:t>
        </w:r>
        <w:r>
          <w:fldChar w:fldCharType="end"/>
        </w:r>
      </w:p>
    </w:sdtContent>
  </w:sdt>
  <w:p>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rPr>
        <w:rStyle w:val="299"/>
        <w:lang w:eastAsia="zh-CN"/>
      </w:rPr>
    </w:pPr>
    <w:r>
      <w:rPr>
        <w:rStyle w:val="299"/>
        <w:rFonts w:hint="eastAsia"/>
        <w:lang w:eastAsia="zh-CN"/>
      </w:rPr>
      <w:t xml:space="preserve"> </w:t>
    </w:r>
    <w:r>
      <w:rPr>
        <w:rStyle w:val="299"/>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lvlText w:val="%1"/>
      <w:legacy w:legacy="1" w:legacySpace="241" w:legacyIndent="0"/>
      <w:lvlJc w:val="left"/>
    </w:lvl>
    <w:lvl w:ilvl="1" w:tentative="0">
      <w:start w:val="1"/>
      <w:numFmt w:val="decimal"/>
      <w:lvlText w:val="%1.%2"/>
      <w:legacy w:legacy="1" w:legacySpace="241" w:legacyIndent="0"/>
      <w:lvlJc w:val="left"/>
    </w:lvl>
    <w:lvl w:ilvl="2" w:tentative="0">
      <w:start w:val="1"/>
      <w:numFmt w:val="decimal"/>
      <w:lvlText w:val="%1.%2.%3"/>
      <w:legacy w:legacy="1" w:legacySpace="241" w:legacyIndent="0"/>
      <w:lvlJc w:val="left"/>
    </w:lvl>
    <w:lvl w:ilvl="3" w:tentative="0">
      <w:start w:val="1"/>
      <w:numFmt w:val="decimal"/>
      <w:lvlText w:val="%1.%2.%3.%4"/>
      <w:legacy w:legacy="1" w:legacySpace="241" w:legacyIndent="0"/>
      <w:lvlJc w:val="left"/>
    </w:lvl>
    <w:lvl w:ilvl="4" w:tentative="0">
      <w:start w:val="1"/>
      <w:numFmt w:val="decimal"/>
      <w:lvlText w:val="%1.%2.%3.%4.%5"/>
      <w:legacy w:legacy="1" w:legacySpace="241" w:legacyIndent="0"/>
      <w:lvlJc w:val="left"/>
    </w:lvl>
    <w:lvl w:ilvl="5" w:tentative="0">
      <w:start w:val="1"/>
      <w:numFmt w:val="decimal"/>
      <w:lvlText w:val="%1.%2.%3.%4.%5.%6"/>
      <w:legacy w:legacy="1" w:legacySpace="144" w:legacyIndent="0"/>
      <w:lvlJc w:val="left"/>
    </w:lvl>
    <w:lvl w:ilvl="6" w:tentative="0">
      <w:start w:val="1"/>
      <w:numFmt w:val="decimal"/>
      <w:pStyle w:val="8"/>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1">
    <w:nsid w:val="42D17ED4"/>
    <w:multiLevelType w:val="multilevel"/>
    <w:tmpl w:val="42D17ED4"/>
    <w:lvl w:ilvl="0" w:tentative="0">
      <w:start w:val="1"/>
      <w:numFmt w:val="decimal"/>
      <w:pStyle w:val="2"/>
      <w:lvlText w:val="%1"/>
      <w:lvlJc w:val="center"/>
      <w:pPr>
        <w:ind w:left="0" w:firstLine="0"/>
      </w:pPr>
      <w:rPr>
        <w:rFonts w:hint="eastAsia"/>
      </w:rPr>
    </w:lvl>
    <w:lvl w:ilvl="1" w:tentative="0">
      <w:start w:val="1"/>
      <w:numFmt w:val="decimal"/>
      <w:pStyle w:val="3"/>
      <w:lvlText w:val="%1.%2"/>
      <w:lvlJc w:val="left"/>
      <w:pPr>
        <w:ind w:left="0" w:firstLine="0"/>
      </w:pPr>
      <w:rPr>
        <w:rFonts w:hint="eastAsia"/>
      </w:rPr>
    </w:lvl>
    <w:lvl w:ilvl="2" w:tentative="0">
      <w:start w:val="1"/>
      <w:numFmt w:val="decimal"/>
      <w:pStyle w:val="4"/>
      <w:lvlText w:val="%1.%2.%3"/>
      <w:lvlJc w:val="left"/>
      <w:pPr>
        <w:ind w:left="0" w:firstLine="0"/>
      </w:pPr>
      <w:rPr>
        <w:rFonts w:hint="eastAsia"/>
      </w:rPr>
    </w:lvl>
    <w:lvl w:ilvl="3" w:tentative="0">
      <w:start w:val="1"/>
      <w:numFmt w:val="decimal"/>
      <w:pStyle w:val="5"/>
      <w:lvlText w:val="%1.%2.%3.%4"/>
      <w:lvlJc w:val="left"/>
      <w:pPr>
        <w:ind w:left="0" w:firstLine="0"/>
      </w:pPr>
      <w:rPr>
        <w:rFonts w:hint="eastAsia"/>
      </w:rPr>
    </w:lvl>
    <w:lvl w:ilvl="4" w:tentative="0">
      <w:start w:val="1"/>
      <w:numFmt w:val="decimal"/>
      <w:lvlRestart w:val="2"/>
      <w:pStyle w:val="58"/>
      <w:suff w:val="space"/>
      <w:lvlText w:val="图%1.%2-%5"/>
      <w:lvlJc w:val="center"/>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JkNTI2YTYxOWZjOTA0Y2VlM2JiYjU5YWIyYWNjOTcifQ=="/>
  </w:docVars>
  <w:rsids>
    <w:rsidRoot w:val="00683C3D"/>
    <w:rsid w:val="00003355"/>
    <w:rsid w:val="000056C6"/>
    <w:rsid w:val="0000598A"/>
    <w:rsid w:val="00006036"/>
    <w:rsid w:val="00006BC9"/>
    <w:rsid w:val="000072FA"/>
    <w:rsid w:val="000079E3"/>
    <w:rsid w:val="00010387"/>
    <w:rsid w:val="00010837"/>
    <w:rsid w:val="00012107"/>
    <w:rsid w:val="00016DC9"/>
    <w:rsid w:val="00017838"/>
    <w:rsid w:val="00017C64"/>
    <w:rsid w:val="0002190A"/>
    <w:rsid w:val="00025BA0"/>
    <w:rsid w:val="0003130E"/>
    <w:rsid w:val="00034C18"/>
    <w:rsid w:val="000373CE"/>
    <w:rsid w:val="000379D2"/>
    <w:rsid w:val="00037A7D"/>
    <w:rsid w:val="0004001D"/>
    <w:rsid w:val="00043209"/>
    <w:rsid w:val="00043800"/>
    <w:rsid w:val="000447B6"/>
    <w:rsid w:val="000449AC"/>
    <w:rsid w:val="00044F79"/>
    <w:rsid w:val="0004559E"/>
    <w:rsid w:val="0004618E"/>
    <w:rsid w:val="0004623D"/>
    <w:rsid w:val="00047890"/>
    <w:rsid w:val="000501D2"/>
    <w:rsid w:val="0005121B"/>
    <w:rsid w:val="00051CB2"/>
    <w:rsid w:val="00052BD7"/>
    <w:rsid w:val="00053528"/>
    <w:rsid w:val="00055006"/>
    <w:rsid w:val="000554C1"/>
    <w:rsid w:val="0005657A"/>
    <w:rsid w:val="0006132C"/>
    <w:rsid w:val="00063CA2"/>
    <w:rsid w:val="00066682"/>
    <w:rsid w:val="00067AA0"/>
    <w:rsid w:val="00070792"/>
    <w:rsid w:val="000708A5"/>
    <w:rsid w:val="00071FC7"/>
    <w:rsid w:val="00072D95"/>
    <w:rsid w:val="00073549"/>
    <w:rsid w:val="00075DE7"/>
    <w:rsid w:val="000763B7"/>
    <w:rsid w:val="00076B5C"/>
    <w:rsid w:val="00076BD9"/>
    <w:rsid w:val="00077DCE"/>
    <w:rsid w:val="00077FDD"/>
    <w:rsid w:val="00081111"/>
    <w:rsid w:val="0008310F"/>
    <w:rsid w:val="0008411D"/>
    <w:rsid w:val="000849F2"/>
    <w:rsid w:val="00086906"/>
    <w:rsid w:val="00087AC4"/>
    <w:rsid w:val="00093949"/>
    <w:rsid w:val="00093FFC"/>
    <w:rsid w:val="0009421C"/>
    <w:rsid w:val="00095FC7"/>
    <w:rsid w:val="00097017"/>
    <w:rsid w:val="000A105B"/>
    <w:rsid w:val="000A1E7E"/>
    <w:rsid w:val="000A20A5"/>
    <w:rsid w:val="000A2726"/>
    <w:rsid w:val="000A2798"/>
    <w:rsid w:val="000A3BE1"/>
    <w:rsid w:val="000A55B8"/>
    <w:rsid w:val="000A59E4"/>
    <w:rsid w:val="000A6D9B"/>
    <w:rsid w:val="000B153E"/>
    <w:rsid w:val="000B5683"/>
    <w:rsid w:val="000B73A2"/>
    <w:rsid w:val="000C02F8"/>
    <w:rsid w:val="000C0ACF"/>
    <w:rsid w:val="000C0D8F"/>
    <w:rsid w:val="000C1A6C"/>
    <w:rsid w:val="000C2B3D"/>
    <w:rsid w:val="000C40F8"/>
    <w:rsid w:val="000C4D34"/>
    <w:rsid w:val="000C50A9"/>
    <w:rsid w:val="000C5FE9"/>
    <w:rsid w:val="000C6B70"/>
    <w:rsid w:val="000C78A9"/>
    <w:rsid w:val="000D1278"/>
    <w:rsid w:val="000D1709"/>
    <w:rsid w:val="000D25DB"/>
    <w:rsid w:val="000D743C"/>
    <w:rsid w:val="000D7441"/>
    <w:rsid w:val="000D79A8"/>
    <w:rsid w:val="000E1044"/>
    <w:rsid w:val="000E2205"/>
    <w:rsid w:val="000E2973"/>
    <w:rsid w:val="000E3E61"/>
    <w:rsid w:val="000E620B"/>
    <w:rsid w:val="000E7A22"/>
    <w:rsid w:val="000F1DE3"/>
    <w:rsid w:val="000F2566"/>
    <w:rsid w:val="000F29F8"/>
    <w:rsid w:val="000F3210"/>
    <w:rsid w:val="000F6C9F"/>
    <w:rsid w:val="00100B8A"/>
    <w:rsid w:val="00100F32"/>
    <w:rsid w:val="00101319"/>
    <w:rsid w:val="0010169F"/>
    <w:rsid w:val="001017B3"/>
    <w:rsid w:val="00101ACC"/>
    <w:rsid w:val="00104CD0"/>
    <w:rsid w:val="001051F5"/>
    <w:rsid w:val="0010728A"/>
    <w:rsid w:val="001114E1"/>
    <w:rsid w:val="00111E58"/>
    <w:rsid w:val="00112ABF"/>
    <w:rsid w:val="00112C58"/>
    <w:rsid w:val="001143CB"/>
    <w:rsid w:val="001163B7"/>
    <w:rsid w:val="00117105"/>
    <w:rsid w:val="00117A91"/>
    <w:rsid w:val="00120B7A"/>
    <w:rsid w:val="00120BDC"/>
    <w:rsid w:val="00120BE8"/>
    <w:rsid w:val="0012123C"/>
    <w:rsid w:val="00122CF7"/>
    <w:rsid w:val="00122E88"/>
    <w:rsid w:val="00123378"/>
    <w:rsid w:val="0012449A"/>
    <w:rsid w:val="00124F03"/>
    <w:rsid w:val="001264DB"/>
    <w:rsid w:val="00127D4A"/>
    <w:rsid w:val="001308C9"/>
    <w:rsid w:val="00131EBE"/>
    <w:rsid w:val="001328D6"/>
    <w:rsid w:val="00135416"/>
    <w:rsid w:val="00135A60"/>
    <w:rsid w:val="001363A4"/>
    <w:rsid w:val="001407F7"/>
    <w:rsid w:val="00141B63"/>
    <w:rsid w:val="00141F89"/>
    <w:rsid w:val="00142006"/>
    <w:rsid w:val="00144878"/>
    <w:rsid w:val="001449F9"/>
    <w:rsid w:val="0014578D"/>
    <w:rsid w:val="00151630"/>
    <w:rsid w:val="00153407"/>
    <w:rsid w:val="001553A6"/>
    <w:rsid w:val="00155C4C"/>
    <w:rsid w:val="0015645B"/>
    <w:rsid w:val="00156920"/>
    <w:rsid w:val="00156A28"/>
    <w:rsid w:val="00156FDB"/>
    <w:rsid w:val="00157BCC"/>
    <w:rsid w:val="00157F74"/>
    <w:rsid w:val="00160890"/>
    <w:rsid w:val="00162690"/>
    <w:rsid w:val="001642EE"/>
    <w:rsid w:val="00165224"/>
    <w:rsid w:val="001660B4"/>
    <w:rsid w:val="0016675F"/>
    <w:rsid w:val="001701DB"/>
    <w:rsid w:val="00172B5C"/>
    <w:rsid w:val="00174363"/>
    <w:rsid w:val="00175552"/>
    <w:rsid w:val="001767EE"/>
    <w:rsid w:val="0017689B"/>
    <w:rsid w:val="00176A16"/>
    <w:rsid w:val="00176D5E"/>
    <w:rsid w:val="001775C6"/>
    <w:rsid w:val="001836D4"/>
    <w:rsid w:val="00184BA3"/>
    <w:rsid w:val="001859C9"/>
    <w:rsid w:val="00186773"/>
    <w:rsid w:val="00186D13"/>
    <w:rsid w:val="0018787E"/>
    <w:rsid w:val="00190220"/>
    <w:rsid w:val="0019170F"/>
    <w:rsid w:val="00191E3D"/>
    <w:rsid w:val="00194CA7"/>
    <w:rsid w:val="001955C6"/>
    <w:rsid w:val="001A15C0"/>
    <w:rsid w:val="001A2465"/>
    <w:rsid w:val="001A30F2"/>
    <w:rsid w:val="001A32D8"/>
    <w:rsid w:val="001A356C"/>
    <w:rsid w:val="001A5AE6"/>
    <w:rsid w:val="001A6087"/>
    <w:rsid w:val="001A66BD"/>
    <w:rsid w:val="001A7240"/>
    <w:rsid w:val="001B1576"/>
    <w:rsid w:val="001B2E20"/>
    <w:rsid w:val="001B50ED"/>
    <w:rsid w:val="001B7449"/>
    <w:rsid w:val="001B7773"/>
    <w:rsid w:val="001B78DF"/>
    <w:rsid w:val="001C0FDA"/>
    <w:rsid w:val="001C1047"/>
    <w:rsid w:val="001C1B0F"/>
    <w:rsid w:val="001C38C5"/>
    <w:rsid w:val="001C52B7"/>
    <w:rsid w:val="001C790C"/>
    <w:rsid w:val="001D10F9"/>
    <w:rsid w:val="001D1AC2"/>
    <w:rsid w:val="001D229F"/>
    <w:rsid w:val="001D2D9A"/>
    <w:rsid w:val="001D458B"/>
    <w:rsid w:val="001D494F"/>
    <w:rsid w:val="001D4E12"/>
    <w:rsid w:val="001D5258"/>
    <w:rsid w:val="001D57FE"/>
    <w:rsid w:val="001D774B"/>
    <w:rsid w:val="001D7E19"/>
    <w:rsid w:val="001E005A"/>
    <w:rsid w:val="001E03EF"/>
    <w:rsid w:val="001E4DDB"/>
    <w:rsid w:val="001E6507"/>
    <w:rsid w:val="001E79E7"/>
    <w:rsid w:val="001F128E"/>
    <w:rsid w:val="001F1B03"/>
    <w:rsid w:val="001F2197"/>
    <w:rsid w:val="001F393F"/>
    <w:rsid w:val="001F5B48"/>
    <w:rsid w:val="001F618F"/>
    <w:rsid w:val="002004BF"/>
    <w:rsid w:val="00200867"/>
    <w:rsid w:val="002014BC"/>
    <w:rsid w:val="00201A21"/>
    <w:rsid w:val="00202681"/>
    <w:rsid w:val="00204733"/>
    <w:rsid w:val="0020509F"/>
    <w:rsid w:val="00206861"/>
    <w:rsid w:val="00210AA9"/>
    <w:rsid w:val="002116A9"/>
    <w:rsid w:val="0021202A"/>
    <w:rsid w:val="00212710"/>
    <w:rsid w:val="00212777"/>
    <w:rsid w:val="002127B1"/>
    <w:rsid w:val="00213696"/>
    <w:rsid w:val="002137E3"/>
    <w:rsid w:val="00215750"/>
    <w:rsid w:val="0021723C"/>
    <w:rsid w:val="0021791C"/>
    <w:rsid w:val="00221910"/>
    <w:rsid w:val="00222A0A"/>
    <w:rsid w:val="00222C47"/>
    <w:rsid w:val="00224401"/>
    <w:rsid w:val="00224481"/>
    <w:rsid w:val="0022463C"/>
    <w:rsid w:val="002248FC"/>
    <w:rsid w:val="002315D3"/>
    <w:rsid w:val="00235A37"/>
    <w:rsid w:val="00235A5D"/>
    <w:rsid w:val="00237194"/>
    <w:rsid w:val="00240141"/>
    <w:rsid w:val="00242DC6"/>
    <w:rsid w:val="002439D1"/>
    <w:rsid w:val="0024448D"/>
    <w:rsid w:val="00245705"/>
    <w:rsid w:val="00246366"/>
    <w:rsid w:val="0025061A"/>
    <w:rsid w:val="0025113D"/>
    <w:rsid w:val="0025172B"/>
    <w:rsid w:val="00254D87"/>
    <w:rsid w:val="0025657D"/>
    <w:rsid w:val="00256DAA"/>
    <w:rsid w:val="00257128"/>
    <w:rsid w:val="0025748A"/>
    <w:rsid w:val="0025772D"/>
    <w:rsid w:val="00257B00"/>
    <w:rsid w:val="00257D69"/>
    <w:rsid w:val="00257E5B"/>
    <w:rsid w:val="00260373"/>
    <w:rsid w:val="00260488"/>
    <w:rsid w:val="002610C8"/>
    <w:rsid w:val="002638E6"/>
    <w:rsid w:val="0026413E"/>
    <w:rsid w:val="00265059"/>
    <w:rsid w:val="002650C6"/>
    <w:rsid w:val="00265360"/>
    <w:rsid w:val="00265E13"/>
    <w:rsid w:val="00267E5B"/>
    <w:rsid w:val="00267ECB"/>
    <w:rsid w:val="0027101E"/>
    <w:rsid w:val="002719C9"/>
    <w:rsid w:val="00273E44"/>
    <w:rsid w:val="002741CE"/>
    <w:rsid w:val="00275B00"/>
    <w:rsid w:val="002810ED"/>
    <w:rsid w:val="0028313A"/>
    <w:rsid w:val="0028523D"/>
    <w:rsid w:val="0028530B"/>
    <w:rsid w:val="002900EA"/>
    <w:rsid w:val="0029085E"/>
    <w:rsid w:val="002912D7"/>
    <w:rsid w:val="00291859"/>
    <w:rsid w:val="002938CA"/>
    <w:rsid w:val="00294CA8"/>
    <w:rsid w:val="0029677B"/>
    <w:rsid w:val="0029735D"/>
    <w:rsid w:val="0029768F"/>
    <w:rsid w:val="002A0328"/>
    <w:rsid w:val="002A06B0"/>
    <w:rsid w:val="002A2199"/>
    <w:rsid w:val="002A2B58"/>
    <w:rsid w:val="002A584F"/>
    <w:rsid w:val="002A593C"/>
    <w:rsid w:val="002A7225"/>
    <w:rsid w:val="002A7900"/>
    <w:rsid w:val="002B0054"/>
    <w:rsid w:val="002B220C"/>
    <w:rsid w:val="002B283B"/>
    <w:rsid w:val="002B2E06"/>
    <w:rsid w:val="002B3553"/>
    <w:rsid w:val="002B41D8"/>
    <w:rsid w:val="002B6A90"/>
    <w:rsid w:val="002C08F4"/>
    <w:rsid w:val="002C11C2"/>
    <w:rsid w:val="002C2BE0"/>
    <w:rsid w:val="002C3624"/>
    <w:rsid w:val="002C4467"/>
    <w:rsid w:val="002C4471"/>
    <w:rsid w:val="002C4D02"/>
    <w:rsid w:val="002C4E58"/>
    <w:rsid w:val="002C602D"/>
    <w:rsid w:val="002C6DE7"/>
    <w:rsid w:val="002C78CA"/>
    <w:rsid w:val="002D12BB"/>
    <w:rsid w:val="002D35A2"/>
    <w:rsid w:val="002D368F"/>
    <w:rsid w:val="002D374F"/>
    <w:rsid w:val="002D39E0"/>
    <w:rsid w:val="002D3C5D"/>
    <w:rsid w:val="002D45DD"/>
    <w:rsid w:val="002D4B2B"/>
    <w:rsid w:val="002D4D9C"/>
    <w:rsid w:val="002D578B"/>
    <w:rsid w:val="002D6062"/>
    <w:rsid w:val="002D7607"/>
    <w:rsid w:val="002D7EBD"/>
    <w:rsid w:val="002E0AA3"/>
    <w:rsid w:val="002E27D4"/>
    <w:rsid w:val="002E2CE2"/>
    <w:rsid w:val="002E3700"/>
    <w:rsid w:val="002E53F1"/>
    <w:rsid w:val="002E5587"/>
    <w:rsid w:val="002F0685"/>
    <w:rsid w:val="002F198C"/>
    <w:rsid w:val="002F338A"/>
    <w:rsid w:val="002F621F"/>
    <w:rsid w:val="002F6709"/>
    <w:rsid w:val="003003C0"/>
    <w:rsid w:val="00303DF4"/>
    <w:rsid w:val="0030448E"/>
    <w:rsid w:val="00306D86"/>
    <w:rsid w:val="0031021D"/>
    <w:rsid w:val="00310838"/>
    <w:rsid w:val="0031123E"/>
    <w:rsid w:val="0031268F"/>
    <w:rsid w:val="003126E6"/>
    <w:rsid w:val="00312D2B"/>
    <w:rsid w:val="00316071"/>
    <w:rsid w:val="003160A9"/>
    <w:rsid w:val="00316365"/>
    <w:rsid w:val="00316B44"/>
    <w:rsid w:val="003176A2"/>
    <w:rsid w:val="00321A5E"/>
    <w:rsid w:val="00321B06"/>
    <w:rsid w:val="00322207"/>
    <w:rsid w:val="00323429"/>
    <w:rsid w:val="00326FF3"/>
    <w:rsid w:val="00327087"/>
    <w:rsid w:val="00327ADB"/>
    <w:rsid w:val="0033214C"/>
    <w:rsid w:val="00333778"/>
    <w:rsid w:val="00336190"/>
    <w:rsid w:val="00336CA1"/>
    <w:rsid w:val="00336D72"/>
    <w:rsid w:val="00336ED3"/>
    <w:rsid w:val="003421DB"/>
    <w:rsid w:val="003445CF"/>
    <w:rsid w:val="00345095"/>
    <w:rsid w:val="0034736D"/>
    <w:rsid w:val="00347EE0"/>
    <w:rsid w:val="00351654"/>
    <w:rsid w:val="00352FC1"/>
    <w:rsid w:val="00354014"/>
    <w:rsid w:val="0035662F"/>
    <w:rsid w:val="003600E3"/>
    <w:rsid w:val="0036123A"/>
    <w:rsid w:val="0036197E"/>
    <w:rsid w:val="003637D1"/>
    <w:rsid w:val="0036470F"/>
    <w:rsid w:val="0036733F"/>
    <w:rsid w:val="003712D8"/>
    <w:rsid w:val="0037238E"/>
    <w:rsid w:val="00372A09"/>
    <w:rsid w:val="00373743"/>
    <w:rsid w:val="003738EC"/>
    <w:rsid w:val="0037397E"/>
    <w:rsid w:val="00373C34"/>
    <w:rsid w:val="00374210"/>
    <w:rsid w:val="00376936"/>
    <w:rsid w:val="00376F7C"/>
    <w:rsid w:val="003773F0"/>
    <w:rsid w:val="00377984"/>
    <w:rsid w:val="00380DE3"/>
    <w:rsid w:val="00383EB6"/>
    <w:rsid w:val="00384060"/>
    <w:rsid w:val="00384281"/>
    <w:rsid w:val="0038625F"/>
    <w:rsid w:val="003874B2"/>
    <w:rsid w:val="00390F61"/>
    <w:rsid w:val="0039495D"/>
    <w:rsid w:val="00394B09"/>
    <w:rsid w:val="00394B3A"/>
    <w:rsid w:val="00397951"/>
    <w:rsid w:val="003A0F90"/>
    <w:rsid w:val="003A2A65"/>
    <w:rsid w:val="003A30C0"/>
    <w:rsid w:val="003A32F1"/>
    <w:rsid w:val="003A4004"/>
    <w:rsid w:val="003A4196"/>
    <w:rsid w:val="003A75C1"/>
    <w:rsid w:val="003B2192"/>
    <w:rsid w:val="003B2AE6"/>
    <w:rsid w:val="003B4638"/>
    <w:rsid w:val="003B4D08"/>
    <w:rsid w:val="003B64AA"/>
    <w:rsid w:val="003C127D"/>
    <w:rsid w:val="003C2603"/>
    <w:rsid w:val="003C28EE"/>
    <w:rsid w:val="003C2DD4"/>
    <w:rsid w:val="003C5DDB"/>
    <w:rsid w:val="003C7E33"/>
    <w:rsid w:val="003D053F"/>
    <w:rsid w:val="003D1C9F"/>
    <w:rsid w:val="003D6C77"/>
    <w:rsid w:val="003D7931"/>
    <w:rsid w:val="003E378B"/>
    <w:rsid w:val="003E468B"/>
    <w:rsid w:val="003E5294"/>
    <w:rsid w:val="003E6680"/>
    <w:rsid w:val="003F0874"/>
    <w:rsid w:val="003F0B73"/>
    <w:rsid w:val="003F0DFC"/>
    <w:rsid w:val="003F33F1"/>
    <w:rsid w:val="003F4BF9"/>
    <w:rsid w:val="003F52CE"/>
    <w:rsid w:val="003F6F4E"/>
    <w:rsid w:val="003F72C1"/>
    <w:rsid w:val="0040339A"/>
    <w:rsid w:val="00403B26"/>
    <w:rsid w:val="00404459"/>
    <w:rsid w:val="00404759"/>
    <w:rsid w:val="00406951"/>
    <w:rsid w:val="00407A06"/>
    <w:rsid w:val="00410321"/>
    <w:rsid w:val="004107A3"/>
    <w:rsid w:val="00415F0F"/>
    <w:rsid w:val="00416107"/>
    <w:rsid w:val="004172FD"/>
    <w:rsid w:val="00417E63"/>
    <w:rsid w:val="00420A67"/>
    <w:rsid w:val="00420DE4"/>
    <w:rsid w:val="00422B20"/>
    <w:rsid w:val="00423EB6"/>
    <w:rsid w:val="00424BB8"/>
    <w:rsid w:val="0042538B"/>
    <w:rsid w:val="00427952"/>
    <w:rsid w:val="00430412"/>
    <w:rsid w:val="004318F8"/>
    <w:rsid w:val="00432A46"/>
    <w:rsid w:val="004335C5"/>
    <w:rsid w:val="00434081"/>
    <w:rsid w:val="004346A7"/>
    <w:rsid w:val="0043539F"/>
    <w:rsid w:val="00435BC2"/>
    <w:rsid w:val="00440542"/>
    <w:rsid w:val="00441C2C"/>
    <w:rsid w:val="00441E83"/>
    <w:rsid w:val="00442B30"/>
    <w:rsid w:val="00442F24"/>
    <w:rsid w:val="00443996"/>
    <w:rsid w:val="00444099"/>
    <w:rsid w:val="00444AD0"/>
    <w:rsid w:val="00444BD0"/>
    <w:rsid w:val="00444CC3"/>
    <w:rsid w:val="0044508B"/>
    <w:rsid w:val="00446B91"/>
    <w:rsid w:val="00452EC9"/>
    <w:rsid w:val="00454199"/>
    <w:rsid w:val="0045585B"/>
    <w:rsid w:val="004625DF"/>
    <w:rsid w:val="00462944"/>
    <w:rsid w:val="004641E5"/>
    <w:rsid w:val="00465450"/>
    <w:rsid w:val="00466469"/>
    <w:rsid w:val="004676A8"/>
    <w:rsid w:val="004705CA"/>
    <w:rsid w:val="00470626"/>
    <w:rsid w:val="0047108F"/>
    <w:rsid w:val="00471472"/>
    <w:rsid w:val="00472D90"/>
    <w:rsid w:val="0047402E"/>
    <w:rsid w:val="0047460F"/>
    <w:rsid w:val="0047505E"/>
    <w:rsid w:val="0048042A"/>
    <w:rsid w:val="0048044B"/>
    <w:rsid w:val="00480C64"/>
    <w:rsid w:val="00482934"/>
    <w:rsid w:val="00482D54"/>
    <w:rsid w:val="00485085"/>
    <w:rsid w:val="00485E84"/>
    <w:rsid w:val="004870D8"/>
    <w:rsid w:val="00490E83"/>
    <w:rsid w:val="0049129D"/>
    <w:rsid w:val="00491D35"/>
    <w:rsid w:val="00493057"/>
    <w:rsid w:val="0049380F"/>
    <w:rsid w:val="00494470"/>
    <w:rsid w:val="00494E3D"/>
    <w:rsid w:val="00495B72"/>
    <w:rsid w:val="00495B79"/>
    <w:rsid w:val="0049769A"/>
    <w:rsid w:val="004A0348"/>
    <w:rsid w:val="004A0B9D"/>
    <w:rsid w:val="004A0D1D"/>
    <w:rsid w:val="004A0FD9"/>
    <w:rsid w:val="004A24E5"/>
    <w:rsid w:val="004A3987"/>
    <w:rsid w:val="004A4AB6"/>
    <w:rsid w:val="004A4DC1"/>
    <w:rsid w:val="004A5A38"/>
    <w:rsid w:val="004A6875"/>
    <w:rsid w:val="004A6D74"/>
    <w:rsid w:val="004A7E3C"/>
    <w:rsid w:val="004B0686"/>
    <w:rsid w:val="004B2F95"/>
    <w:rsid w:val="004B3B01"/>
    <w:rsid w:val="004B4224"/>
    <w:rsid w:val="004B52D9"/>
    <w:rsid w:val="004B651C"/>
    <w:rsid w:val="004B6564"/>
    <w:rsid w:val="004C0367"/>
    <w:rsid w:val="004C0402"/>
    <w:rsid w:val="004C1447"/>
    <w:rsid w:val="004C28DA"/>
    <w:rsid w:val="004C5D4B"/>
    <w:rsid w:val="004C6462"/>
    <w:rsid w:val="004C6677"/>
    <w:rsid w:val="004C6999"/>
    <w:rsid w:val="004D1828"/>
    <w:rsid w:val="004D2D33"/>
    <w:rsid w:val="004D5126"/>
    <w:rsid w:val="004D5671"/>
    <w:rsid w:val="004D6C10"/>
    <w:rsid w:val="004D700E"/>
    <w:rsid w:val="004E1C5A"/>
    <w:rsid w:val="004E22BF"/>
    <w:rsid w:val="004E476B"/>
    <w:rsid w:val="004E4BEA"/>
    <w:rsid w:val="004E6356"/>
    <w:rsid w:val="004E654F"/>
    <w:rsid w:val="004E6D88"/>
    <w:rsid w:val="004E7674"/>
    <w:rsid w:val="004F0B0D"/>
    <w:rsid w:val="004F1671"/>
    <w:rsid w:val="004F4023"/>
    <w:rsid w:val="004F444C"/>
    <w:rsid w:val="004F4456"/>
    <w:rsid w:val="004F60C0"/>
    <w:rsid w:val="004F704E"/>
    <w:rsid w:val="004F76A6"/>
    <w:rsid w:val="004F7BE4"/>
    <w:rsid w:val="00500027"/>
    <w:rsid w:val="00500274"/>
    <w:rsid w:val="00500497"/>
    <w:rsid w:val="005019EF"/>
    <w:rsid w:val="00501F82"/>
    <w:rsid w:val="005025FC"/>
    <w:rsid w:val="00502801"/>
    <w:rsid w:val="00503A21"/>
    <w:rsid w:val="00503D8D"/>
    <w:rsid w:val="005076FC"/>
    <w:rsid w:val="0051058A"/>
    <w:rsid w:val="00512D83"/>
    <w:rsid w:val="00513361"/>
    <w:rsid w:val="00513B06"/>
    <w:rsid w:val="00513F2B"/>
    <w:rsid w:val="00515ECE"/>
    <w:rsid w:val="0051779E"/>
    <w:rsid w:val="00520574"/>
    <w:rsid w:val="00521552"/>
    <w:rsid w:val="00521DE2"/>
    <w:rsid w:val="00521FF4"/>
    <w:rsid w:val="005222DA"/>
    <w:rsid w:val="00522D87"/>
    <w:rsid w:val="005236FD"/>
    <w:rsid w:val="005267CA"/>
    <w:rsid w:val="0052691A"/>
    <w:rsid w:val="00527A4B"/>
    <w:rsid w:val="00530CAB"/>
    <w:rsid w:val="00530FD9"/>
    <w:rsid w:val="0053307A"/>
    <w:rsid w:val="005332B4"/>
    <w:rsid w:val="00533D3A"/>
    <w:rsid w:val="00534B6E"/>
    <w:rsid w:val="005356BC"/>
    <w:rsid w:val="005364B5"/>
    <w:rsid w:val="00537F19"/>
    <w:rsid w:val="00541178"/>
    <w:rsid w:val="005417B7"/>
    <w:rsid w:val="005432B5"/>
    <w:rsid w:val="00543D22"/>
    <w:rsid w:val="00543E98"/>
    <w:rsid w:val="005451AA"/>
    <w:rsid w:val="005455CE"/>
    <w:rsid w:val="00546391"/>
    <w:rsid w:val="0054749C"/>
    <w:rsid w:val="00547B81"/>
    <w:rsid w:val="0055107E"/>
    <w:rsid w:val="00551AF1"/>
    <w:rsid w:val="00552154"/>
    <w:rsid w:val="00552435"/>
    <w:rsid w:val="00557FE6"/>
    <w:rsid w:val="005605A4"/>
    <w:rsid w:val="00560C95"/>
    <w:rsid w:val="005645CF"/>
    <w:rsid w:val="005665D1"/>
    <w:rsid w:val="005678BB"/>
    <w:rsid w:val="005678F5"/>
    <w:rsid w:val="00570D58"/>
    <w:rsid w:val="005711FA"/>
    <w:rsid w:val="005714DA"/>
    <w:rsid w:val="00571508"/>
    <w:rsid w:val="00571588"/>
    <w:rsid w:val="00576F72"/>
    <w:rsid w:val="0058016A"/>
    <w:rsid w:val="00580D0B"/>
    <w:rsid w:val="005821A1"/>
    <w:rsid w:val="0058344A"/>
    <w:rsid w:val="00585BD6"/>
    <w:rsid w:val="00585DC1"/>
    <w:rsid w:val="0058759D"/>
    <w:rsid w:val="00587F5A"/>
    <w:rsid w:val="005900F4"/>
    <w:rsid w:val="00590107"/>
    <w:rsid w:val="00590E20"/>
    <w:rsid w:val="00591258"/>
    <w:rsid w:val="00594C5B"/>
    <w:rsid w:val="00594DD5"/>
    <w:rsid w:val="005965A4"/>
    <w:rsid w:val="005A07B8"/>
    <w:rsid w:val="005A0897"/>
    <w:rsid w:val="005A0F87"/>
    <w:rsid w:val="005A15E5"/>
    <w:rsid w:val="005A23AA"/>
    <w:rsid w:val="005A2B10"/>
    <w:rsid w:val="005A4DF5"/>
    <w:rsid w:val="005A6660"/>
    <w:rsid w:val="005A7EFA"/>
    <w:rsid w:val="005B0465"/>
    <w:rsid w:val="005B08E4"/>
    <w:rsid w:val="005B15AC"/>
    <w:rsid w:val="005B2F77"/>
    <w:rsid w:val="005B3FCE"/>
    <w:rsid w:val="005B5477"/>
    <w:rsid w:val="005B6308"/>
    <w:rsid w:val="005C3529"/>
    <w:rsid w:val="005C36D9"/>
    <w:rsid w:val="005C4022"/>
    <w:rsid w:val="005C6BA9"/>
    <w:rsid w:val="005C777F"/>
    <w:rsid w:val="005C78EF"/>
    <w:rsid w:val="005D3A20"/>
    <w:rsid w:val="005D660A"/>
    <w:rsid w:val="005D6B9B"/>
    <w:rsid w:val="005E00DF"/>
    <w:rsid w:val="005E0C0D"/>
    <w:rsid w:val="005E0DB7"/>
    <w:rsid w:val="005E16A8"/>
    <w:rsid w:val="005E2374"/>
    <w:rsid w:val="005E2991"/>
    <w:rsid w:val="005E2FB5"/>
    <w:rsid w:val="005E578F"/>
    <w:rsid w:val="005E690E"/>
    <w:rsid w:val="005E6EB4"/>
    <w:rsid w:val="005E7E57"/>
    <w:rsid w:val="005F27A1"/>
    <w:rsid w:val="005F299E"/>
    <w:rsid w:val="005F348E"/>
    <w:rsid w:val="005F3B40"/>
    <w:rsid w:val="005F673C"/>
    <w:rsid w:val="005F7C7A"/>
    <w:rsid w:val="00600D46"/>
    <w:rsid w:val="006018D9"/>
    <w:rsid w:val="00607C53"/>
    <w:rsid w:val="0061048B"/>
    <w:rsid w:val="0061059D"/>
    <w:rsid w:val="00610BA6"/>
    <w:rsid w:val="006142A1"/>
    <w:rsid w:val="006169C9"/>
    <w:rsid w:val="006201F0"/>
    <w:rsid w:val="00621711"/>
    <w:rsid w:val="006244B6"/>
    <w:rsid w:val="00625216"/>
    <w:rsid w:val="006264A9"/>
    <w:rsid w:val="00627DC1"/>
    <w:rsid w:val="00631E0A"/>
    <w:rsid w:val="00635704"/>
    <w:rsid w:val="00635B9A"/>
    <w:rsid w:val="00642F5C"/>
    <w:rsid w:val="00643E82"/>
    <w:rsid w:val="00644312"/>
    <w:rsid w:val="00644740"/>
    <w:rsid w:val="0064654C"/>
    <w:rsid w:val="00646D69"/>
    <w:rsid w:val="006471BF"/>
    <w:rsid w:val="00650BBA"/>
    <w:rsid w:val="006511B2"/>
    <w:rsid w:val="006514F5"/>
    <w:rsid w:val="00652652"/>
    <w:rsid w:val="00654ED3"/>
    <w:rsid w:val="006553E1"/>
    <w:rsid w:val="00660942"/>
    <w:rsid w:val="00660B05"/>
    <w:rsid w:val="0066173F"/>
    <w:rsid w:val="00661982"/>
    <w:rsid w:val="00661A30"/>
    <w:rsid w:val="00662BC6"/>
    <w:rsid w:val="00663465"/>
    <w:rsid w:val="00663CED"/>
    <w:rsid w:val="006650B3"/>
    <w:rsid w:val="006674B8"/>
    <w:rsid w:val="006705C9"/>
    <w:rsid w:val="006706BB"/>
    <w:rsid w:val="00676A81"/>
    <w:rsid w:val="0067752F"/>
    <w:rsid w:val="00681AA7"/>
    <w:rsid w:val="006828C1"/>
    <w:rsid w:val="006835DC"/>
    <w:rsid w:val="00683C3D"/>
    <w:rsid w:val="00683E44"/>
    <w:rsid w:val="00684A49"/>
    <w:rsid w:val="006859BF"/>
    <w:rsid w:val="00685F8D"/>
    <w:rsid w:val="0068625A"/>
    <w:rsid w:val="00686CAA"/>
    <w:rsid w:val="006901FF"/>
    <w:rsid w:val="006910C9"/>
    <w:rsid w:val="006915D7"/>
    <w:rsid w:val="00691ACF"/>
    <w:rsid w:val="00695C10"/>
    <w:rsid w:val="00696189"/>
    <w:rsid w:val="0069647E"/>
    <w:rsid w:val="006965AC"/>
    <w:rsid w:val="00696D37"/>
    <w:rsid w:val="00697067"/>
    <w:rsid w:val="006A00DA"/>
    <w:rsid w:val="006A061D"/>
    <w:rsid w:val="006A29CD"/>
    <w:rsid w:val="006A4E14"/>
    <w:rsid w:val="006A5353"/>
    <w:rsid w:val="006A5CC2"/>
    <w:rsid w:val="006A734A"/>
    <w:rsid w:val="006B008C"/>
    <w:rsid w:val="006B1871"/>
    <w:rsid w:val="006B2763"/>
    <w:rsid w:val="006B4B42"/>
    <w:rsid w:val="006B59C2"/>
    <w:rsid w:val="006B5C78"/>
    <w:rsid w:val="006C01F9"/>
    <w:rsid w:val="006C0B89"/>
    <w:rsid w:val="006C11F9"/>
    <w:rsid w:val="006C28C9"/>
    <w:rsid w:val="006C2E67"/>
    <w:rsid w:val="006C4BAF"/>
    <w:rsid w:val="006C5061"/>
    <w:rsid w:val="006C66EA"/>
    <w:rsid w:val="006C6D80"/>
    <w:rsid w:val="006C7695"/>
    <w:rsid w:val="006D1A91"/>
    <w:rsid w:val="006D2FA3"/>
    <w:rsid w:val="006D625D"/>
    <w:rsid w:val="006E2D64"/>
    <w:rsid w:val="006E349D"/>
    <w:rsid w:val="006E44A5"/>
    <w:rsid w:val="006E4C67"/>
    <w:rsid w:val="006E5254"/>
    <w:rsid w:val="006F0EA5"/>
    <w:rsid w:val="006F2F3A"/>
    <w:rsid w:val="006F385D"/>
    <w:rsid w:val="006F3C6B"/>
    <w:rsid w:val="006F622E"/>
    <w:rsid w:val="007028D0"/>
    <w:rsid w:val="00702AF4"/>
    <w:rsid w:val="00702D97"/>
    <w:rsid w:val="00706CD7"/>
    <w:rsid w:val="00707199"/>
    <w:rsid w:val="00707DCB"/>
    <w:rsid w:val="0071147D"/>
    <w:rsid w:val="00713B6E"/>
    <w:rsid w:val="007143DA"/>
    <w:rsid w:val="00714638"/>
    <w:rsid w:val="00715F49"/>
    <w:rsid w:val="007202B2"/>
    <w:rsid w:val="0072332D"/>
    <w:rsid w:val="00723BF6"/>
    <w:rsid w:val="00724866"/>
    <w:rsid w:val="00724EB8"/>
    <w:rsid w:val="00725735"/>
    <w:rsid w:val="00725844"/>
    <w:rsid w:val="00726806"/>
    <w:rsid w:val="00730A15"/>
    <w:rsid w:val="00731341"/>
    <w:rsid w:val="007318F1"/>
    <w:rsid w:val="00733040"/>
    <w:rsid w:val="00733C66"/>
    <w:rsid w:val="00733E57"/>
    <w:rsid w:val="00735ABC"/>
    <w:rsid w:val="00736104"/>
    <w:rsid w:val="00737F96"/>
    <w:rsid w:val="00744934"/>
    <w:rsid w:val="00744B1F"/>
    <w:rsid w:val="007472EB"/>
    <w:rsid w:val="00750D11"/>
    <w:rsid w:val="0075378E"/>
    <w:rsid w:val="00754192"/>
    <w:rsid w:val="00755F07"/>
    <w:rsid w:val="007564F5"/>
    <w:rsid w:val="00757237"/>
    <w:rsid w:val="00757E42"/>
    <w:rsid w:val="0076007F"/>
    <w:rsid w:val="00762DE7"/>
    <w:rsid w:val="00763ADB"/>
    <w:rsid w:val="00763D52"/>
    <w:rsid w:val="00764767"/>
    <w:rsid w:val="00766E74"/>
    <w:rsid w:val="00767A37"/>
    <w:rsid w:val="00767C05"/>
    <w:rsid w:val="007701ED"/>
    <w:rsid w:val="00770271"/>
    <w:rsid w:val="007728D4"/>
    <w:rsid w:val="00773F57"/>
    <w:rsid w:val="00775D63"/>
    <w:rsid w:val="00776F7C"/>
    <w:rsid w:val="0078075B"/>
    <w:rsid w:val="00780EE8"/>
    <w:rsid w:val="007835C9"/>
    <w:rsid w:val="00784D64"/>
    <w:rsid w:val="00785575"/>
    <w:rsid w:val="00786036"/>
    <w:rsid w:val="00786527"/>
    <w:rsid w:val="00792040"/>
    <w:rsid w:val="00792588"/>
    <w:rsid w:val="00792B82"/>
    <w:rsid w:val="00793F5D"/>
    <w:rsid w:val="007948AD"/>
    <w:rsid w:val="00796481"/>
    <w:rsid w:val="007971BB"/>
    <w:rsid w:val="00797AB6"/>
    <w:rsid w:val="007A06F4"/>
    <w:rsid w:val="007A0FAD"/>
    <w:rsid w:val="007A118C"/>
    <w:rsid w:val="007A471B"/>
    <w:rsid w:val="007A484A"/>
    <w:rsid w:val="007A6D5E"/>
    <w:rsid w:val="007A7B15"/>
    <w:rsid w:val="007B08FB"/>
    <w:rsid w:val="007B267B"/>
    <w:rsid w:val="007B2723"/>
    <w:rsid w:val="007B2A5F"/>
    <w:rsid w:val="007B37A7"/>
    <w:rsid w:val="007B4184"/>
    <w:rsid w:val="007B42D7"/>
    <w:rsid w:val="007B4C1C"/>
    <w:rsid w:val="007B4F98"/>
    <w:rsid w:val="007C0185"/>
    <w:rsid w:val="007C0C4D"/>
    <w:rsid w:val="007C110F"/>
    <w:rsid w:val="007C1CFD"/>
    <w:rsid w:val="007C397C"/>
    <w:rsid w:val="007C5394"/>
    <w:rsid w:val="007C5F9F"/>
    <w:rsid w:val="007C6094"/>
    <w:rsid w:val="007C6798"/>
    <w:rsid w:val="007C772F"/>
    <w:rsid w:val="007D126B"/>
    <w:rsid w:val="007D1CBB"/>
    <w:rsid w:val="007D2745"/>
    <w:rsid w:val="007D2B73"/>
    <w:rsid w:val="007D36C9"/>
    <w:rsid w:val="007D4296"/>
    <w:rsid w:val="007D4A7F"/>
    <w:rsid w:val="007D4C51"/>
    <w:rsid w:val="007E40FA"/>
    <w:rsid w:val="007E5856"/>
    <w:rsid w:val="007E5F9D"/>
    <w:rsid w:val="007E6273"/>
    <w:rsid w:val="007E7ECD"/>
    <w:rsid w:val="007E7FA0"/>
    <w:rsid w:val="007F0723"/>
    <w:rsid w:val="007F0929"/>
    <w:rsid w:val="007F238C"/>
    <w:rsid w:val="007F6E81"/>
    <w:rsid w:val="007F7593"/>
    <w:rsid w:val="007F7EB2"/>
    <w:rsid w:val="00800E34"/>
    <w:rsid w:val="00801669"/>
    <w:rsid w:val="00801781"/>
    <w:rsid w:val="00801A7A"/>
    <w:rsid w:val="00801EB1"/>
    <w:rsid w:val="00803243"/>
    <w:rsid w:val="00803402"/>
    <w:rsid w:val="00803573"/>
    <w:rsid w:val="00804ABE"/>
    <w:rsid w:val="00805158"/>
    <w:rsid w:val="00805A8A"/>
    <w:rsid w:val="0080791C"/>
    <w:rsid w:val="0080795F"/>
    <w:rsid w:val="008110E2"/>
    <w:rsid w:val="008119C5"/>
    <w:rsid w:val="00813FA0"/>
    <w:rsid w:val="0081616B"/>
    <w:rsid w:val="00816B38"/>
    <w:rsid w:val="0081773F"/>
    <w:rsid w:val="00821DC3"/>
    <w:rsid w:val="00824AC1"/>
    <w:rsid w:val="008260B0"/>
    <w:rsid w:val="00826BAD"/>
    <w:rsid w:val="008277C2"/>
    <w:rsid w:val="0083093A"/>
    <w:rsid w:val="00830E00"/>
    <w:rsid w:val="008310EE"/>
    <w:rsid w:val="00831735"/>
    <w:rsid w:val="008324B8"/>
    <w:rsid w:val="0083268C"/>
    <w:rsid w:val="00832C39"/>
    <w:rsid w:val="0083305A"/>
    <w:rsid w:val="00833965"/>
    <w:rsid w:val="00836D4C"/>
    <w:rsid w:val="00840647"/>
    <w:rsid w:val="00842B87"/>
    <w:rsid w:val="00844079"/>
    <w:rsid w:val="008463D5"/>
    <w:rsid w:val="0084721E"/>
    <w:rsid w:val="00852811"/>
    <w:rsid w:val="00852888"/>
    <w:rsid w:val="00852EA2"/>
    <w:rsid w:val="008555D9"/>
    <w:rsid w:val="00856B4F"/>
    <w:rsid w:val="0085744D"/>
    <w:rsid w:val="00857A67"/>
    <w:rsid w:val="00861773"/>
    <w:rsid w:val="008619A2"/>
    <w:rsid w:val="00863168"/>
    <w:rsid w:val="0086364B"/>
    <w:rsid w:val="0086648D"/>
    <w:rsid w:val="00866D16"/>
    <w:rsid w:val="008677EB"/>
    <w:rsid w:val="008700D8"/>
    <w:rsid w:val="008712AF"/>
    <w:rsid w:val="00873E25"/>
    <w:rsid w:val="00875E2C"/>
    <w:rsid w:val="008779C5"/>
    <w:rsid w:val="00877FFB"/>
    <w:rsid w:val="00880B25"/>
    <w:rsid w:val="00880D41"/>
    <w:rsid w:val="00880DF8"/>
    <w:rsid w:val="00881ABE"/>
    <w:rsid w:val="00881FB9"/>
    <w:rsid w:val="008829AC"/>
    <w:rsid w:val="00883345"/>
    <w:rsid w:val="00883625"/>
    <w:rsid w:val="00883629"/>
    <w:rsid w:val="00883EB7"/>
    <w:rsid w:val="00883F12"/>
    <w:rsid w:val="0088402B"/>
    <w:rsid w:val="00884B94"/>
    <w:rsid w:val="00885D71"/>
    <w:rsid w:val="008907A4"/>
    <w:rsid w:val="00892988"/>
    <w:rsid w:val="00892F99"/>
    <w:rsid w:val="008937C1"/>
    <w:rsid w:val="00893F81"/>
    <w:rsid w:val="008941F2"/>
    <w:rsid w:val="0089463F"/>
    <w:rsid w:val="00895019"/>
    <w:rsid w:val="008953E6"/>
    <w:rsid w:val="00897979"/>
    <w:rsid w:val="008A0278"/>
    <w:rsid w:val="008A1E70"/>
    <w:rsid w:val="008A207C"/>
    <w:rsid w:val="008A5932"/>
    <w:rsid w:val="008A6041"/>
    <w:rsid w:val="008A76FB"/>
    <w:rsid w:val="008B0A40"/>
    <w:rsid w:val="008B1012"/>
    <w:rsid w:val="008B139E"/>
    <w:rsid w:val="008B192A"/>
    <w:rsid w:val="008B1D10"/>
    <w:rsid w:val="008B3D51"/>
    <w:rsid w:val="008B4C5B"/>
    <w:rsid w:val="008B5924"/>
    <w:rsid w:val="008B7275"/>
    <w:rsid w:val="008C0E02"/>
    <w:rsid w:val="008C1F55"/>
    <w:rsid w:val="008C2B86"/>
    <w:rsid w:val="008C52A9"/>
    <w:rsid w:val="008C6F07"/>
    <w:rsid w:val="008D0B9C"/>
    <w:rsid w:val="008D20A4"/>
    <w:rsid w:val="008D4174"/>
    <w:rsid w:val="008D59BC"/>
    <w:rsid w:val="008D6468"/>
    <w:rsid w:val="008D6D50"/>
    <w:rsid w:val="008E29D8"/>
    <w:rsid w:val="008E356C"/>
    <w:rsid w:val="008E3FE6"/>
    <w:rsid w:val="008E67A7"/>
    <w:rsid w:val="008E6F36"/>
    <w:rsid w:val="008F0B14"/>
    <w:rsid w:val="008F19DE"/>
    <w:rsid w:val="008F2A2E"/>
    <w:rsid w:val="008F2DEF"/>
    <w:rsid w:val="008F2F51"/>
    <w:rsid w:val="008F5410"/>
    <w:rsid w:val="008F5661"/>
    <w:rsid w:val="008F5CCA"/>
    <w:rsid w:val="008F5DA4"/>
    <w:rsid w:val="008F62E9"/>
    <w:rsid w:val="008F6467"/>
    <w:rsid w:val="008F7790"/>
    <w:rsid w:val="008F7926"/>
    <w:rsid w:val="009003AF"/>
    <w:rsid w:val="00902188"/>
    <w:rsid w:val="0090232C"/>
    <w:rsid w:val="00903AEC"/>
    <w:rsid w:val="00904FD3"/>
    <w:rsid w:val="00905759"/>
    <w:rsid w:val="00905DDB"/>
    <w:rsid w:val="009062FE"/>
    <w:rsid w:val="00907F05"/>
    <w:rsid w:val="009107DC"/>
    <w:rsid w:val="00911026"/>
    <w:rsid w:val="009126A6"/>
    <w:rsid w:val="00915681"/>
    <w:rsid w:val="009175C2"/>
    <w:rsid w:val="00917D40"/>
    <w:rsid w:val="00920D43"/>
    <w:rsid w:val="00921676"/>
    <w:rsid w:val="00922706"/>
    <w:rsid w:val="00923EBC"/>
    <w:rsid w:val="009256F0"/>
    <w:rsid w:val="00926149"/>
    <w:rsid w:val="00930170"/>
    <w:rsid w:val="0093094C"/>
    <w:rsid w:val="00931271"/>
    <w:rsid w:val="00931F76"/>
    <w:rsid w:val="00933127"/>
    <w:rsid w:val="0093371B"/>
    <w:rsid w:val="00933ED8"/>
    <w:rsid w:val="0094001B"/>
    <w:rsid w:val="009407C6"/>
    <w:rsid w:val="00940833"/>
    <w:rsid w:val="00941F4B"/>
    <w:rsid w:val="00942A6A"/>
    <w:rsid w:val="00943307"/>
    <w:rsid w:val="00943C82"/>
    <w:rsid w:val="00944667"/>
    <w:rsid w:val="00946449"/>
    <w:rsid w:val="00951EF6"/>
    <w:rsid w:val="009522FD"/>
    <w:rsid w:val="00952D27"/>
    <w:rsid w:val="0095348D"/>
    <w:rsid w:val="00954740"/>
    <w:rsid w:val="00956F24"/>
    <w:rsid w:val="00960F14"/>
    <w:rsid w:val="00962885"/>
    <w:rsid w:val="009649BB"/>
    <w:rsid w:val="00966A1E"/>
    <w:rsid w:val="0096716C"/>
    <w:rsid w:val="00970B44"/>
    <w:rsid w:val="00971210"/>
    <w:rsid w:val="00971E98"/>
    <w:rsid w:val="0097248B"/>
    <w:rsid w:val="00974156"/>
    <w:rsid w:val="00974324"/>
    <w:rsid w:val="009746CD"/>
    <w:rsid w:val="00976E6B"/>
    <w:rsid w:val="009800B5"/>
    <w:rsid w:val="00982DB2"/>
    <w:rsid w:val="00983163"/>
    <w:rsid w:val="00984CC6"/>
    <w:rsid w:val="00985B09"/>
    <w:rsid w:val="00985C57"/>
    <w:rsid w:val="00985D8D"/>
    <w:rsid w:val="00986AAC"/>
    <w:rsid w:val="00990C2E"/>
    <w:rsid w:val="00991855"/>
    <w:rsid w:val="009939D3"/>
    <w:rsid w:val="00994870"/>
    <w:rsid w:val="00995A1D"/>
    <w:rsid w:val="00996A3C"/>
    <w:rsid w:val="00996EBA"/>
    <w:rsid w:val="009A1BF0"/>
    <w:rsid w:val="009A3D0D"/>
    <w:rsid w:val="009A3F56"/>
    <w:rsid w:val="009A478D"/>
    <w:rsid w:val="009A596B"/>
    <w:rsid w:val="009A6933"/>
    <w:rsid w:val="009B0E89"/>
    <w:rsid w:val="009B24A2"/>
    <w:rsid w:val="009B365A"/>
    <w:rsid w:val="009B42AD"/>
    <w:rsid w:val="009B4802"/>
    <w:rsid w:val="009B61D5"/>
    <w:rsid w:val="009C21C5"/>
    <w:rsid w:val="009C4E42"/>
    <w:rsid w:val="009C5AD1"/>
    <w:rsid w:val="009D09E5"/>
    <w:rsid w:val="009D0D68"/>
    <w:rsid w:val="009D32A2"/>
    <w:rsid w:val="009D3797"/>
    <w:rsid w:val="009D4A4F"/>
    <w:rsid w:val="009D4D8C"/>
    <w:rsid w:val="009D521F"/>
    <w:rsid w:val="009D7FDB"/>
    <w:rsid w:val="009E1ACC"/>
    <w:rsid w:val="009E2EC2"/>
    <w:rsid w:val="009E3505"/>
    <w:rsid w:val="009E377C"/>
    <w:rsid w:val="009E3F65"/>
    <w:rsid w:val="009E4945"/>
    <w:rsid w:val="009E58A2"/>
    <w:rsid w:val="009E7A9D"/>
    <w:rsid w:val="009F0332"/>
    <w:rsid w:val="009F25B5"/>
    <w:rsid w:val="009F278D"/>
    <w:rsid w:val="009F2DFE"/>
    <w:rsid w:val="009F2F7C"/>
    <w:rsid w:val="009F31CA"/>
    <w:rsid w:val="009F5A08"/>
    <w:rsid w:val="009F5C9F"/>
    <w:rsid w:val="009F5D4F"/>
    <w:rsid w:val="009F5EF3"/>
    <w:rsid w:val="009F6455"/>
    <w:rsid w:val="00A0041C"/>
    <w:rsid w:val="00A00726"/>
    <w:rsid w:val="00A00E38"/>
    <w:rsid w:val="00A00E4A"/>
    <w:rsid w:val="00A02952"/>
    <w:rsid w:val="00A0380F"/>
    <w:rsid w:val="00A0411A"/>
    <w:rsid w:val="00A05229"/>
    <w:rsid w:val="00A0643E"/>
    <w:rsid w:val="00A06FC1"/>
    <w:rsid w:val="00A07178"/>
    <w:rsid w:val="00A1548E"/>
    <w:rsid w:val="00A15A8B"/>
    <w:rsid w:val="00A173BB"/>
    <w:rsid w:val="00A17F9B"/>
    <w:rsid w:val="00A20043"/>
    <w:rsid w:val="00A20819"/>
    <w:rsid w:val="00A20949"/>
    <w:rsid w:val="00A20D8B"/>
    <w:rsid w:val="00A22078"/>
    <w:rsid w:val="00A22BB4"/>
    <w:rsid w:val="00A246C7"/>
    <w:rsid w:val="00A2700B"/>
    <w:rsid w:val="00A30648"/>
    <w:rsid w:val="00A31630"/>
    <w:rsid w:val="00A31F09"/>
    <w:rsid w:val="00A3282F"/>
    <w:rsid w:val="00A334E8"/>
    <w:rsid w:val="00A408A8"/>
    <w:rsid w:val="00A40C9C"/>
    <w:rsid w:val="00A423BC"/>
    <w:rsid w:val="00A43074"/>
    <w:rsid w:val="00A43287"/>
    <w:rsid w:val="00A446BF"/>
    <w:rsid w:val="00A450BF"/>
    <w:rsid w:val="00A46438"/>
    <w:rsid w:val="00A54166"/>
    <w:rsid w:val="00A54559"/>
    <w:rsid w:val="00A545E5"/>
    <w:rsid w:val="00A558CE"/>
    <w:rsid w:val="00A55CDC"/>
    <w:rsid w:val="00A604AE"/>
    <w:rsid w:val="00A60F90"/>
    <w:rsid w:val="00A62DD3"/>
    <w:rsid w:val="00A63D01"/>
    <w:rsid w:val="00A65665"/>
    <w:rsid w:val="00A66CD5"/>
    <w:rsid w:val="00A706AE"/>
    <w:rsid w:val="00A72988"/>
    <w:rsid w:val="00A73222"/>
    <w:rsid w:val="00A74467"/>
    <w:rsid w:val="00A753E7"/>
    <w:rsid w:val="00A77A01"/>
    <w:rsid w:val="00A77C6A"/>
    <w:rsid w:val="00A80896"/>
    <w:rsid w:val="00A817E1"/>
    <w:rsid w:val="00A82821"/>
    <w:rsid w:val="00A834BC"/>
    <w:rsid w:val="00A87B86"/>
    <w:rsid w:val="00A9176B"/>
    <w:rsid w:val="00A9198F"/>
    <w:rsid w:val="00A91FB7"/>
    <w:rsid w:val="00A935FC"/>
    <w:rsid w:val="00A93A0C"/>
    <w:rsid w:val="00A94457"/>
    <w:rsid w:val="00A94E3C"/>
    <w:rsid w:val="00A95585"/>
    <w:rsid w:val="00AA100B"/>
    <w:rsid w:val="00AA20A7"/>
    <w:rsid w:val="00AA5B74"/>
    <w:rsid w:val="00AA72CE"/>
    <w:rsid w:val="00AA7896"/>
    <w:rsid w:val="00AB17ED"/>
    <w:rsid w:val="00AB18C3"/>
    <w:rsid w:val="00AB2165"/>
    <w:rsid w:val="00AB241B"/>
    <w:rsid w:val="00AB3BF9"/>
    <w:rsid w:val="00AB61E9"/>
    <w:rsid w:val="00AB71AA"/>
    <w:rsid w:val="00AC01DA"/>
    <w:rsid w:val="00AC0DF3"/>
    <w:rsid w:val="00AC1070"/>
    <w:rsid w:val="00AC212A"/>
    <w:rsid w:val="00AC7BAB"/>
    <w:rsid w:val="00AC7E4B"/>
    <w:rsid w:val="00AD0F8D"/>
    <w:rsid w:val="00AD1D04"/>
    <w:rsid w:val="00AD1DCB"/>
    <w:rsid w:val="00AD29AE"/>
    <w:rsid w:val="00AD32B2"/>
    <w:rsid w:val="00AD355A"/>
    <w:rsid w:val="00AD41B4"/>
    <w:rsid w:val="00AD5406"/>
    <w:rsid w:val="00AD741D"/>
    <w:rsid w:val="00AD7DB1"/>
    <w:rsid w:val="00AE015A"/>
    <w:rsid w:val="00AE0B94"/>
    <w:rsid w:val="00AE0C92"/>
    <w:rsid w:val="00AE0CFE"/>
    <w:rsid w:val="00AE0D4C"/>
    <w:rsid w:val="00AE0E14"/>
    <w:rsid w:val="00AE19AB"/>
    <w:rsid w:val="00AE3B32"/>
    <w:rsid w:val="00AE5CDE"/>
    <w:rsid w:val="00AE5DF3"/>
    <w:rsid w:val="00AE7874"/>
    <w:rsid w:val="00AE78BC"/>
    <w:rsid w:val="00AF3A33"/>
    <w:rsid w:val="00AF41B7"/>
    <w:rsid w:val="00AF45CF"/>
    <w:rsid w:val="00AF7C47"/>
    <w:rsid w:val="00AF7CC8"/>
    <w:rsid w:val="00B003B9"/>
    <w:rsid w:val="00B00FDE"/>
    <w:rsid w:val="00B02512"/>
    <w:rsid w:val="00B035FE"/>
    <w:rsid w:val="00B03CF1"/>
    <w:rsid w:val="00B04B2C"/>
    <w:rsid w:val="00B06C91"/>
    <w:rsid w:val="00B078A5"/>
    <w:rsid w:val="00B11EA0"/>
    <w:rsid w:val="00B11FB8"/>
    <w:rsid w:val="00B14335"/>
    <w:rsid w:val="00B21F21"/>
    <w:rsid w:val="00B22002"/>
    <w:rsid w:val="00B221DE"/>
    <w:rsid w:val="00B22C95"/>
    <w:rsid w:val="00B26E28"/>
    <w:rsid w:val="00B30A46"/>
    <w:rsid w:val="00B31526"/>
    <w:rsid w:val="00B3198E"/>
    <w:rsid w:val="00B31C80"/>
    <w:rsid w:val="00B329E5"/>
    <w:rsid w:val="00B347E8"/>
    <w:rsid w:val="00B377CB"/>
    <w:rsid w:val="00B4131B"/>
    <w:rsid w:val="00B42932"/>
    <w:rsid w:val="00B429DE"/>
    <w:rsid w:val="00B436AA"/>
    <w:rsid w:val="00B4444D"/>
    <w:rsid w:val="00B4472F"/>
    <w:rsid w:val="00B45B21"/>
    <w:rsid w:val="00B462B7"/>
    <w:rsid w:val="00B47A63"/>
    <w:rsid w:val="00B50149"/>
    <w:rsid w:val="00B5102D"/>
    <w:rsid w:val="00B513ED"/>
    <w:rsid w:val="00B51B48"/>
    <w:rsid w:val="00B529CD"/>
    <w:rsid w:val="00B530A8"/>
    <w:rsid w:val="00B53DE3"/>
    <w:rsid w:val="00B544FA"/>
    <w:rsid w:val="00B54E7E"/>
    <w:rsid w:val="00B5524E"/>
    <w:rsid w:val="00B575BF"/>
    <w:rsid w:val="00B57FF2"/>
    <w:rsid w:val="00B60F4A"/>
    <w:rsid w:val="00B62BCF"/>
    <w:rsid w:val="00B66F8D"/>
    <w:rsid w:val="00B6725B"/>
    <w:rsid w:val="00B67772"/>
    <w:rsid w:val="00B67930"/>
    <w:rsid w:val="00B67B1B"/>
    <w:rsid w:val="00B67B2A"/>
    <w:rsid w:val="00B716C4"/>
    <w:rsid w:val="00B72430"/>
    <w:rsid w:val="00B72E5E"/>
    <w:rsid w:val="00B7326C"/>
    <w:rsid w:val="00B7391B"/>
    <w:rsid w:val="00B744DE"/>
    <w:rsid w:val="00B80572"/>
    <w:rsid w:val="00B80BBE"/>
    <w:rsid w:val="00B82DFF"/>
    <w:rsid w:val="00B83B73"/>
    <w:rsid w:val="00B843DB"/>
    <w:rsid w:val="00B85C8B"/>
    <w:rsid w:val="00B8611E"/>
    <w:rsid w:val="00B86CDC"/>
    <w:rsid w:val="00B87247"/>
    <w:rsid w:val="00B9049E"/>
    <w:rsid w:val="00B912CD"/>
    <w:rsid w:val="00B91CB3"/>
    <w:rsid w:val="00B9235A"/>
    <w:rsid w:val="00B9490B"/>
    <w:rsid w:val="00B95388"/>
    <w:rsid w:val="00B97B41"/>
    <w:rsid w:val="00BA4590"/>
    <w:rsid w:val="00BA4950"/>
    <w:rsid w:val="00BA49A9"/>
    <w:rsid w:val="00BA6664"/>
    <w:rsid w:val="00BB0C82"/>
    <w:rsid w:val="00BB39C7"/>
    <w:rsid w:val="00BB5C83"/>
    <w:rsid w:val="00BB639A"/>
    <w:rsid w:val="00BB6563"/>
    <w:rsid w:val="00BB7D7D"/>
    <w:rsid w:val="00BB7EA7"/>
    <w:rsid w:val="00BC1BA3"/>
    <w:rsid w:val="00BC552C"/>
    <w:rsid w:val="00BC602B"/>
    <w:rsid w:val="00BC6C2A"/>
    <w:rsid w:val="00BC7E4F"/>
    <w:rsid w:val="00BD3AEA"/>
    <w:rsid w:val="00BD4E42"/>
    <w:rsid w:val="00BD70EB"/>
    <w:rsid w:val="00BE04C2"/>
    <w:rsid w:val="00BE120F"/>
    <w:rsid w:val="00BE18FF"/>
    <w:rsid w:val="00BE290C"/>
    <w:rsid w:val="00BE3E61"/>
    <w:rsid w:val="00BE581D"/>
    <w:rsid w:val="00BE64A5"/>
    <w:rsid w:val="00BF05D1"/>
    <w:rsid w:val="00BF1087"/>
    <w:rsid w:val="00BF188E"/>
    <w:rsid w:val="00BF32D9"/>
    <w:rsid w:val="00BF5673"/>
    <w:rsid w:val="00BF58E1"/>
    <w:rsid w:val="00C01563"/>
    <w:rsid w:val="00C03290"/>
    <w:rsid w:val="00C03CAC"/>
    <w:rsid w:val="00C053F8"/>
    <w:rsid w:val="00C05D57"/>
    <w:rsid w:val="00C06DFB"/>
    <w:rsid w:val="00C07621"/>
    <w:rsid w:val="00C17AC0"/>
    <w:rsid w:val="00C17C9B"/>
    <w:rsid w:val="00C21105"/>
    <w:rsid w:val="00C2157E"/>
    <w:rsid w:val="00C217AB"/>
    <w:rsid w:val="00C219A9"/>
    <w:rsid w:val="00C21FDB"/>
    <w:rsid w:val="00C2331C"/>
    <w:rsid w:val="00C239F6"/>
    <w:rsid w:val="00C242EB"/>
    <w:rsid w:val="00C24450"/>
    <w:rsid w:val="00C24CE0"/>
    <w:rsid w:val="00C24F3F"/>
    <w:rsid w:val="00C26313"/>
    <w:rsid w:val="00C267A6"/>
    <w:rsid w:val="00C27A83"/>
    <w:rsid w:val="00C324FF"/>
    <w:rsid w:val="00C40512"/>
    <w:rsid w:val="00C40CDE"/>
    <w:rsid w:val="00C415B9"/>
    <w:rsid w:val="00C41F37"/>
    <w:rsid w:val="00C4445D"/>
    <w:rsid w:val="00C466DD"/>
    <w:rsid w:val="00C46F0B"/>
    <w:rsid w:val="00C51BCB"/>
    <w:rsid w:val="00C52AF1"/>
    <w:rsid w:val="00C533DF"/>
    <w:rsid w:val="00C55AF9"/>
    <w:rsid w:val="00C55E46"/>
    <w:rsid w:val="00C55E90"/>
    <w:rsid w:val="00C56525"/>
    <w:rsid w:val="00C57012"/>
    <w:rsid w:val="00C60A51"/>
    <w:rsid w:val="00C60E40"/>
    <w:rsid w:val="00C61189"/>
    <w:rsid w:val="00C614C8"/>
    <w:rsid w:val="00C62E01"/>
    <w:rsid w:val="00C63CE9"/>
    <w:rsid w:val="00C67BA0"/>
    <w:rsid w:val="00C702BC"/>
    <w:rsid w:val="00C7053E"/>
    <w:rsid w:val="00C7075B"/>
    <w:rsid w:val="00C70842"/>
    <w:rsid w:val="00C719BA"/>
    <w:rsid w:val="00C73767"/>
    <w:rsid w:val="00C75162"/>
    <w:rsid w:val="00C75539"/>
    <w:rsid w:val="00C765C3"/>
    <w:rsid w:val="00C76B26"/>
    <w:rsid w:val="00C80BB1"/>
    <w:rsid w:val="00C8139A"/>
    <w:rsid w:val="00C8258D"/>
    <w:rsid w:val="00C8261C"/>
    <w:rsid w:val="00C82E46"/>
    <w:rsid w:val="00C82FDD"/>
    <w:rsid w:val="00C8474B"/>
    <w:rsid w:val="00C85E23"/>
    <w:rsid w:val="00C85EF3"/>
    <w:rsid w:val="00C8647C"/>
    <w:rsid w:val="00C86B7A"/>
    <w:rsid w:val="00C86CD4"/>
    <w:rsid w:val="00C904BD"/>
    <w:rsid w:val="00C906DA"/>
    <w:rsid w:val="00C90F35"/>
    <w:rsid w:val="00C914D7"/>
    <w:rsid w:val="00C91EE4"/>
    <w:rsid w:val="00C92A55"/>
    <w:rsid w:val="00C93B4F"/>
    <w:rsid w:val="00C94FB2"/>
    <w:rsid w:val="00C957C4"/>
    <w:rsid w:val="00C9582D"/>
    <w:rsid w:val="00CA093C"/>
    <w:rsid w:val="00CA0FF9"/>
    <w:rsid w:val="00CA192D"/>
    <w:rsid w:val="00CA217D"/>
    <w:rsid w:val="00CA2B31"/>
    <w:rsid w:val="00CA3813"/>
    <w:rsid w:val="00CA4BED"/>
    <w:rsid w:val="00CA5043"/>
    <w:rsid w:val="00CA6963"/>
    <w:rsid w:val="00CA76CF"/>
    <w:rsid w:val="00CA7EED"/>
    <w:rsid w:val="00CB0808"/>
    <w:rsid w:val="00CB11FB"/>
    <w:rsid w:val="00CB18CF"/>
    <w:rsid w:val="00CB1D54"/>
    <w:rsid w:val="00CB21EB"/>
    <w:rsid w:val="00CB2736"/>
    <w:rsid w:val="00CB293F"/>
    <w:rsid w:val="00CB4114"/>
    <w:rsid w:val="00CB5B88"/>
    <w:rsid w:val="00CC05CD"/>
    <w:rsid w:val="00CC09DE"/>
    <w:rsid w:val="00CC0AD5"/>
    <w:rsid w:val="00CC2619"/>
    <w:rsid w:val="00CC3816"/>
    <w:rsid w:val="00CC4F6E"/>
    <w:rsid w:val="00CC5071"/>
    <w:rsid w:val="00CC5C53"/>
    <w:rsid w:val="00CC64E7"/>
    <w:rsid w:val="00CD0DDA"/>
    <w:rsid w:val="00CD100B"/>
    <w:rsid w:val="00CD199E"/>
    <w:rsid w:val="00CD50C8"/>
    <w:rsid w:val="00CD60C8"/>
    <w:rsid w:val="00CD66A4"/>
    <w:rsid w:val="00CD7BD6"/>
    <w:rsid w:val="00CE1C8D"/>
    <w:rsid w:val="00CE388E"/>
    <w:rsid w:val="00CE496F"/>
    <w:rsid w:val="00CE514B"/>
    <w:rsid w:val="00CE518E"/>
    <w:rsid w:val="00CE5A80"/>
    <w:rsid w:val="00CE641B"/>
    <w:rsid w:val="00CF4665"/>
    <w:rsid w:val="00CF46F4"/>
    <w:rsid w:val="00CF49E7"/>
    <w:rsid w:val="00CF6123"/>
    <w:rsid w:val="00CF738A"/>
    <w:rsid w:val="00CF7BF5"/>
    <w:rsid w:val="00D01A1A"/>
    <w:rsid w:val="00D01B9A"/>
    <w:rsid w:val="00D027DD"/>
    <w:rsid w:val="00D03556"/>
    <w:rsid w:val="00D03981"/>
    <w:rsid w:val="00D043DA"/>
    <w:rsid w:val="00D050F5"/>
    <w:rsid w:val="00D05902"/>
    <w:rsid w:val="00D06D99"/>
    <w:rsid w:val="00D075EF"/>
    <w:rsid w:val="00D1063F"/>
    <w:rsid w:val="00D12976"/>
    <w:rsid w:val="00D1378C"/>
    <w:rsid w:val="00D150D4"/>
    <w:rsid w:val="00D172DB"/>
    <w:rsid w:val="00D1731B"/>
    <w:rsid w:val="00D17B96"/>
    <w:rsid w:val="00D205FA"/>
    <w:rsid w:val="00D20B03"/>
    <w:rsid w:val="00D20D8D"/>
    <w:rsid w:val="00D21556"/>
    <w:rsid w:val="00D218D2"/>
    <w:rsid w:val="00D22715"/>
    <w:rsid w:val="00D22B30"/>
    <w:rsid w:val="00D268CD"/>
    <w:rsid w:val="00D268D4"/>
    <w:rsid w:val="00D3097F"/>
    <w:rsid w:val="00D3177E"/>
    <w:rsid w:val="00D3228E"/>
    <w:rsid w:val="00D3235A"/>
    <w:rsid w:val="00D326B4"/>
    <w:rsid w:val="00D32CD3"/>
    <w:rsid w:val="00D33426"/>
    <w:rsid w:val="00D346F3"/>
    <w:rsid w:val="00D3525E"/>
    <w:rsid w:val="00D358B0"/>
    <w:rsid w:val="00D3610B"/>
    <w:rsid w:val="00D3633D"/>
    <w:rsid w:val="00D36FDF"/>
    <w:rsid w:val="00D37C78"/>
    <w:rsid w:val="00D37CCA"/>
    <w:rsid w:val="00D41511"/>
    <w:rsid w:val="00D41F6A"/>
    <w:rsid w:val="00D45428"/>
    <w:rsid w:val="00D508EB"/>
    <w:rsid w:val="00D51074"/>
    <w:rsid w:val="00D51722"/>
    <w:rsid w:val="00D54181"/>
    <w:rsid w:val="00D54D07"/>
    <w:rsid w:val="00D55900"/>
    <w:rsid w:val="00D55F58"/>
    <w:rsid w:val="00D56A06"/>
    <w:rsid w:val="00D56EC1"/>
    <w:rsid w:val="00D5728A"/>
    <w:rsid w:val="00D5753B"/>
    <w:rsid w:val="00D61435"/>
    <w:rsid w:val="00D62D20"/>
    <w:rsid w:val="00D62E78"/>
    <w:rsid w:val="00D64B61"/>
    <w:rsid w:val="00D66E7F"/>
    <w:rsid w:val="00D679BE"/>
    <w:rsid w:val="00D72A5F"/>
    <w:rsid w:val="00D73CCA"/>
    <w:rsid w:val="00D74C06"/>
    <w:rsid w:val="00D755CD"/>
    <w:rsid w:val="00D75CD3"/>
    <w:rsid w:val="00D76A78"/>
    <w:rsid w:val="00D77575"/>
    <w:rsid w:val="00D81C3F"/>
    <w:rsid w:val="00D81F13"/>
    <w:rsid w:val="00D82A5D"/>
    <w:rsid w:val="00D86E30"/>
    <w:rsid w:val="00D911BF"/>
    <w:rsid w:val="00D9273E"/>
    <w:rsid w:val="00D92C79"/>
    <w:rsid w:val="00D933FD"/>
    <w:rsid w:val="00D94A7E"/>
    <w:rsid w:val="00D94F87"/>
    <w:rsid w:val="00D95222"/>
    <w:rsid w:val="00D9777C"/>
    <w:rsid w:val="00D97C95"/>
    <w:rsid w:val="00DA054D"/>
    <w:rsid w:val="00DA0B3D"/>
    <w:rsid w:val="00DA220A"/>
    <w:rsid w:val="00DA2576"/>
    <w:rsid w:val="00DA42F6"/>
    <w:rsid w:val="00DA45CE"/>
    <w:rsid w:val="00DB04FC"/>
    <w:rsid w:val="00DB1CA7"/>
    <w:rsid w:val="00DB5D71"/>
    <w:rsid w:val="00DB6FB8"/>
    <w:rsid w:val="00DC23F2"/>
    <w:rsid w:val="00DC5716"/>
    <w:rsid w:val="00DC7B4A"/>
    <w:rsid w:val="00DD0311"/>
    <w:rsid w:val="00DD073C"/>
    <w:rsid w:val="00DD1DD8"/>
    <w:rsid w:val="00DD2A95"/>
    <w:rsid w:val="00DD499E"/>
    <w:rsid w:val="00DD5E12"/>
    <w:rsid w:val="00DD6E86"/>
    <w:rsid w:val="00DD6F9C"/>
    <w:rsid w:val="00DD7ECD"/>
    <w:rsid w:val="00DE2103"/>
    <w:rsid w:val="00DE3990"/>
    <w:rsid w:val="00DE3D59"/>
    <w:rsid w:val="00DE629C"/>
    <w:rsid w:val="00DF053D"/>
    <w:rsid w:val="00DF345B"/>
    <w:rsid w:val="00DF720A"/>
    <w:rsid w:val="00E0120C"/>
    <w:rsid w:val="00E02827"/>
    <w:rsid w:val="00E04116"/>
    <w:rsid w:val="00E07625"/>
    <w:rsid w:val="00E07F5B"/>
    <w:rsid w:val="00E10925"/>
    <w:rsid w:val="00E10EFD"/>
    <w:rsid w:val="00E11600"/>
    <w:rsid w:val="00E1189E"/>
    <w:rsid w:val="00E1201C"/>
    <w:rsid w:val="00E13358"/>
    <w:rsid w:val="00E145F1"/>
    <w:rsid w:val="00E14C7E"/>
    <w:rsid w:val="00E15E14"/>
    <w:rsid w:val="00E1710A"/>
    <w:rsid w:val="00E209A1"/>
    <w:rsid w:val="00E22853"/>
    <w:rsid w:val="00E240E1"/>
    <w:rsid w:val="00E26C2B"/>
    <w:rsid w:val="00E27129"/>
    <w:rsid w:val="00E306E4"/>
    <w:rsid w:val="00E3397A"/>
    <w:rsid w:val="00E349A1"/>
    <w:rsid w:val="00E349E7"/>
    <w:rsid w:val="00E34B92"/>
    <w:rsid w:val="00E34D38"/>
    <w:rsid w:val="00E36125"/>
    <w:rsid w:val="00E371EE"/>
    <w:rsid w:val="00E37BBC"/>
    <w:rsid w:val="00E41533"/>
    <w:rsid w:val="00E416C0"/>
    <w:rsid w:val="00E42EE1"/>
    <w:rsid w:val="00E432D3"/>
    <w:rsid w:val="00E43974"/>
    <w:rsid w:val="00E44B22"/>
    <w:rsid w:val="00E4597A"/>
    <w:rsid w:val="00E46240"/>
    <w:rsid w:val="00E466BC"/>
    <w:rsid w:val="00E46722"/>
    <w:rsid w:val="00E469C8"/>
    <w:rsid w:val="00E51550"/>
    <w:rsid w:val="00E5156D"/>
    <w:rsid w:val="00E5185B"/>
    <w:rsid w:val="00E5238C"/>
    <w:rsid w:val="00E5288F"/>
    <w:rsid w:val="00E53213"/>
    <w:rsid w:val="00E55B0E"/>
    <w:rsid w:val="00E56F05"/>
    <w:rsid w:val="00E57663"/>
    <w:rsid w:val="00E6589C"/>
    <w:rsid w:val="00E659DF"/>
    <w:rsid w:val="00E675AA"/>
    <w:rsid w:val="00E7261A"/>
    <w:rsid w:val="00E72D85"/>
    <w:rsid w:val="00E73DD0"/>
    <w:rsid w:val="00E7457F"/>
    <w:rsid w:val="00E757ED"/>
    <w:rsid w:val="00E764B8"/>
    <w:rsid w:val="00E7762F"/>
    <w:rsid w:val="00E80E2B"/>
    <w:rsid w:val="00E82BBC"/>
    <w:rsid w:val="00E83CBE"/>
    <w:rsid w:val="00E8566A"/>
    <w:rsid w:val="00E87DF3"/>
    <w:rsid w:val="00E90543"/>
    <w:rsid w:val="00E907C0"/>
    <w:rsid w:val="00E90C1F"/>
    <w:rsid w:val="00E91789"/>
    <w:rsid w:val="00E95F11"/>
    <w:rsid w:val="00E96195"/>
    <w:rsid w:val="00EA0277"/>
    <w:rsid w:val="00EA0401"/>
    <w:rsid w:val="00EA07A9"/>
    <w:rsid w:val="00EA13C6"/>
    <w:rsid w:val="00EA1F2C"/>
    <w:rsid w:val="00EA1FEC"/>
    <w:rsid w:val="00EA3B9D"/>
    <w:rsid w:val="00EA4A0C"/>
    <w:rsid w:val="00EA628E"/>
    <w:rsid w:val="00EA64DA"/>
    <w:rsid w:val="00EA69EE"/>
    <w:rsid w:val="00EA75B0"/>
    <w:rsid w:val="00EB09E4"/>
    <w:rsid w:val="00EB2E9E"/>
    <w:rsid w:val="00EB42D2"/>
    <w:rsid w:val="00EB4B4A"/>
    <w:rsid w:val="00EB61ED"/>
    <w:rsid w:val="00EB7AE2"/>
    <w:rsid w:val="00EC1504"/>
    <w:rsid w:val="00EC15F6"/>
    <w:rsid w:val="00EC616E"/>
    <w:rsid w:val="00ED1122"/>
    <w:rsid w:val="00ED14F8"/>
    <w:rsid w:val="00ED2A84"/>
    <w:rsid w:val="00ED2ACA"/>
    <w:rsid w:val="00ED2ADA"/>
    <w:rsid w:val="00ED2E89"/>
    <w:rsid w:val="00ED3088"/>
    <w:rsid w:val="00ED6A45"/>
    <w:rsid w:val="00EE23B7"/>
    <w:rsid w:val="00EE3AD6"/>
    <w:rsid w:val="00EE4C91"/>
    <w:rsid w:val="00EE5B3F"/>
    <w:rsid w:val="00EE6C76"/>
    <w:rsid w:val="00EF160E"/>
    <w:rsid w:val="00EF35D1"/>
    <w:rsid w:val="00EF3B0A"/>
    <w:rsid w:val="00EF435D"/>
    <w:rsid w:val="00EF50EA"/>
    <w:rsid w:val="00EF5CBB"/>
    <w:rsid w:val="00EF6064"/>
    <w:rsid w:val="00EF60A5"/>
    <w:rsid w:val="00F04B02"/>
    <w:rsid w:val="00F04C9B"/>
    <w:rsid w:val="00F060BF"/>
    <w:rsid w:val="00F061C5"/>
    <w:rsid w:val="00F10D9F"/>
    <w:rsid w:val="00F10E3F"/>
    <w:rsid w:val="00F10E99"/>
    <w:rsid w:val="00F11AD1"/>
    <w:rsid w:val="00F11D92"/>
    <w:rsid w:val="00F13929"/>
    <w:rsid w:val="00F14FE0"/>
    <w:rsid w:val="00F15C77"/>
    <w:rsid w:val="00F16100"/>
    <w:rsid w:val="00F200C9"/>
    <w:rsid w:val="00F2176F"/>
    <w:rsid w:val="00F21BE7"/>
    <w:rsid w:val="00F2473F"/>
    <w:rsid w:val="00F24F03"/>
    <w:rsid w:val="00F252A7"/>
    <w:rsid w:val="00F27AED"/>
    <w:rsid w:val="00F318AC"/>
    <w:rsid w:val="00F3196D"/>
    <w:rsid w:val="00F32E43"/>
    <w:rsid w:val="00F331D4"/>
    <w:rsid w:val="00F33290"/>
    <w:rsid w:val="00F34A32"/>
    <w:rsid w:val="00F35043"/>
    <w:rsid w:val="00F35386"/>
    <w:rsid w:val="00F42254"/>
    <w:rsid w:val="00F43224"/>
    <w:rsid w:val="00F440E1"/>
    <w:rsid w:val="00F45981"/>
    <w:rsid w:val="00F45C52"/>
    <w:rsid w:val="00F47C1C"/>
    <w:rsid w:val="00F500ED"/>
    <w:rsid w:val="00F51A3E"/>
    <w:rsid w:val="00F51C52"/>
    <w:rsid w:val="00F521B1"/>
    <w:rsid w:val="00F526CB"/>
    <w:rsid w:val="00F52B4F"/>
    <w:rsid w:val="00F55130"/>
    <w:rsid w:val="00F56524"/>
    <w:rsid w:val="00F5669A"/>
    <w:rsid w:val="00F61262"/>
    <w:rsid w:val="00F6315B"/>
    <w:rsid w:val="00F63365"/>
    <w:rsid w:val="00F64798"/>
    <w:rsid w:val="00F64C32"/>
    <w:rsid w:val="00F679CB"/>
    <w:rsid w:val="00F71C3C"/>
    <w:rsid w:val="00F7252D"/>
    <w:rsid w:val="00F72531"/>
    <w:rsid w:val="00F73E3C"/>
    <w:rsid w:val="00F769CC"/>
    <w:rsid w:val="00F864B2"/>
    <w:rsid w:val="00F87494"/>
    <w:rsid w:val="00F879AA"/>
    <w:rsid w:val="00F9024C"/>
    <w:rsid w:val="00F94704"/>
    <w:rsid w:val="00F948BB"/>
    <w:rsid w:val="00F95444"/>
    <w:rsid w:val="00F97BE0"/>
    <w:rsid w:val="00FA08D6"/>
    <w:rsid w:val="00FA71EE"/>
    <w:rsid w:val="00FA758B"/>
    <w:rsid w:val="00FB0D3F"/>
    <w:rsid w:val="00FB1968"/>
    <w:rsid w:val="00FB3192"/>
    <w:rsid w:val="00FB4236"/>
    <w:rsid w:val="00FB5262"/>
    <w:rsid w:val="00FB541D"/>
    <w:rsid w:val="00FB672B"/>
    <w:rsid w:val="00FB6B1F"/>
    <w:rsid w:val="00FC0F9B"/>
    <w:rsid w:val="00FC2E8B"/>
    <w:rsid w:val="00FC4905"/>
    <w:rsid w:val="00FC5136"/>
    <w:rsid w:val="00FC5E0E"/>
    <w:rsid w:val="00FC6E49"/>
    <w:rsid w:val="00FC7184"/>
    <w:rsid w:val="00FD085C"/>
    <w:rsid w:val="00FD0FF4"/>
    <w:rsid w:val="00FD4DF5"/>
    <w:rsid w:val="00FD7691"/>
    <w:rsid w:val="00FD76B1"/>
    <w:rsid w:val="00FE0698"/>
    <w:rsid w:val="00FE2589"/>
    <w:rsid w:val="00FE347A"/>
    <w:rsid w:val="00FE3EB2"/>
    <w:rsid w:val="00FE42F6"/>
    <w:rsid w:val="00FE718F"/>
    <w:rsid w:val="00FF095C"/>
    <w:rsid w:val="00FF1243"/>
    <w:rsid w:val="00FF186C"/>
    <w:rsid w:val="00FF215C"/>
    <w:rsid w:val="00FF24F6"/>
    <w:rsid w:val="00FF3EE4"/>
    <w:rsid w:val="00FF4B26"/>
    <w:rsid w:val="00FF551D"/>
    <w:rsid w:val="33D54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0" w:semiHidden="0" w:name="heading 5"/>
    <w:lsdException w:uiPriority="9" w:semiHidden="0" w:name="heading 6"/>
    <w:lsdException w:unhideWhenUsed="0" w:uiPriority="9" w:semiHidden="0" w:name="heading 7"/>
    <w:lsdException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semiHidden="0" w:name="toc 4"/>
    <w:lsdException w:uiPriority="39" w:semiHidden="0" w:name="toc 5"/>
    <w:lsdException w:qFormat="1"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iPriority="99" w:name="footnote text"/>
    <w:lsdException w:uiPriority="99" w:semiHidden="0" w:name="annotation text"/>
    <w:lsdException w:uiPriority="0" w:semiHidden="0" w:name="header"/>
    <w:lsdException w:qFormat="1" w:uiPriority="99" w:semiHidden="0" w:name="footer"/>
    <w:lsdException w:uiPriority="99" w:name="index heading"/>
    <w:lsdException w:uiPriority="35" w:semiHidden="0"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0"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nhideWhenUsed="0" w:uiPriority="99" w:semiHidden="0" w:name="Body Text First Indent"/>
    <w:lsdException w:uiPriority="0" w:semiHidden="0" w:name="Body Text First Indent 2"/>
    <w:lsdException w:uiPriority="99" w:name="Note Heading"/>
    <w:lsdException w:uiPriority="99" w:name="Body Text 2"/>
    <w:lsdException w:uiPriority="99" w:name="Body Text 3"/>
    <w:lsdException w:uiPriority="0" w:semiHidden="0"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semiHidden="0" w:name="Document Map"/>
    <w:lsdException w:uiPriority="99" w:semiHidden="0" w:name="Plain Text"/>
    <w:lsdException w:uiPriority="99" w:semiHidden="0"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44"/>
    <w:qFormat/>
    <w:uiPriority w:val="9"/>
    <w:pPr>
      <w:numPr>
        <w:ilvl w:val="0"/>
        <w:numId w:val="1"/>
      </w:numPr>
      <w:spacing w:before="100" w:beforeLines="100" w:after="100" w:afterLines="100" w:line="240" w:lineRule="auto"/>
      <w:ind w:firstLineChars="0"/>
      <w:jc w:val="center"/>
      <w:outlineLvl w:val="0"/>
    </w:pPr>
    <w:rPr>
      <w:b/>
      <w:bCs/>
      <w:kern w:val="44"/>
      <w:sz w:val="32"/>
      <w:szCs w:val="44"/>
      <w:lang w:val="zh-CN" w:eastAsia="zh-CN"/>
    </w:rPr>
  </w:style>
  <w:style w:type="paragraph" w:styleId="3">
    <w:name w:val="heading 2"/>
    <w:basedOn w:val="1"/>
    <w:next w:val="1"/>
    <w:link w:val="45"/>
    <w:unhideWhenUsed/>
    <w:qFormat/>
    <w:uiPriority w:val="9"/>
    <w:pPr>
      <w:numPr>
        <w:ilvl w:val="1"/>
        <w:numId w:val="1"/>
      </w:numPr>
      <w:ind w:firstLineChars="0"/>
      <w:outlineLvl w:val="1"/>
    </w:pPr>
    <w:rPr>
      <w:b/>
      <w:bCs/>
      <w:kern w:val="0"/>
      <w:sz w:val="30"/>
      <w:szCs w:val="32"/>
      <w:lang w:val="zh-CN" w:eastAsia="zh-CN"/>
    </w:rPr>
  </w:style>
  <w:style w:type="paragraph" w:styleId="4">
    <w:name w:val="heading 3"/>
    <w:basedOn w:val="1"/>
    <w:next w:val="1"/>
    <w:link w:val="46"/>
    <w:unhideWhenUsed/>
    <w:qFormat/>
    <w:uiPriority w:val="9"/>
    <w:pPr>
      <w:numPr>
        <w:ilvl w:val="2"/>
        <w:numId w:val="1"/>
      </w:numPr>
      <w:ind w:firstLineChars="0"/>
      <w:outlineLvl w:val="2"/>
    </w:pPr>
    <w:rPr>
      <w:b/>
      <w:bCs/>
      <w:kern w:val="0"/>
      <w:sz w:val="28"/>
      <w:szCs w:val="32"/>
      <w:lang w:val="zh-CN" w:eastAsia="zh-CN"/>
    </w:rPr>
  </w:style>
  <w:style w:type="paragraph" w:styleId="5">
    <w:name w:val="heading 4"/>
    <w:basedOn w:val="1"/>
    <w:next w:val="1"/>
    <w:link w:val="47"/>
    <w:unhideWhenUsed/>
    <w:qFormat/>
    <w:uiPriority w:val="9"/>
    <w:pPr>
      <w:numPr>
        <w:ilvl w:val="3"/>
        <w:numId w:val="1"/>
      </w:numPr>
      <w:ind w:firstLineChars="0"/>
      <w:outlineLvl w:val="3"/>
    </w:pPr>
    <w:rPr>
      <w:b/>
      <w:bCs/>
      <w:kern w:val="0"/>
      <w:szCs w:val="28"/>
      <w:lang w:val="zh-CN" w:eastAsia="zh-CN"/>
    </w:rPr>
  </w:style>
  <w:style w:type="paragraph" w:styleId="6">
    <w:name w:val="heading 5"/>
    <w:basedOn w:val="1"/>
    <w:next w:val="1"/>
    <w:link w:val="48"/>
    <w:unhideWhenUsed/>
    <w:uiPriority w:val="0"/>
    <w:pPr>
      <w:ind w:firstLine="0" w:firstLineChars="0"/>
      <w:jc w:val="left"/>
      <w:outlineLvl w:val="4"/>
    </w:pPr>
    <w:rPr>
      <w:b/>
      <w:bCs/>
      <w:kern w:val="0"/>
      <w:sz w:val="20"/>
      <w:szCs w:val="28"/>
      <w:lang w:val="zh-CN" w:eastAsia="zh-CN"/>
    </w:rPr>
  </w:style>
  <w:style w:type="paragraph" w:styleId="7">
    <w:name w:val="heading 6"/>
    <w:basedOn w:val="1"/>
    <w:next w:val="1"/>
    <w:link w:val="49"/>
    <w:unhideWhenUsed/>
    <w:uiPriority w:val="9"/>
    <w:pPr>
      <w:keepNext/>
      <w:keepLines/>
      <w:spacing w:before="240" w:after="64" w:line="320" w:lineRule="auto"/>
      <w:outlineLvl w:val="5"/>
    </w:pPr>
    <w:rPr>
      <w:rFonts w:ascii="Calibri Light" w:hAnsi="Calibri Light"/>
      <w:b/>
      <w:bCs/>
      <w:kern w:val="0"/>
      <w:szCs w:val="24"/>
      <w:lang w:val="zh-CN" w:eastAsia="zh-CN"/>
    </w:rPr>
  </w:style>
  <w:style w:type="paragraph" w:styleId="8">
    <w:name w:val="heading 7"/>
    <w:basedOn w:val="1"/>
    <w:next w:val="1"/>
    <w:link w:val="50"/>
    <w:uiPriority w:val="9"/>
    <w:pPr>
      <w:keepNext/>
      <w:keepLines/>
      <w:numPr>
        <w:ilvl w:val="6"/>
        <w:numId w:val="2"/>
      </w:numPr>
      <w:snapToGrid/>
      <w:spacing w:before="240" w:after="64" w:line="320" w:lineRule="atLeast"/>
      <w:ind w:left="2975" w:hanging="425" w:firstLineChars="0"/>
      <w:textAlignment w:val="baseline"/>
      <w:outlineLvl w:val="6"/>
    </w:pPr>
    <w:rPr>
      <w:rFonts w:ascii="Arial"/>
      <w:b/>
      <w:kern w:val="0"/>
      <w:szCs w:val="20"/>
      <w:lang w:val="zh-CN" w:eastAsia="zh-CN"/>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9">
    <w:name w:val="toc 7"/>
    <w:basedOn w:val="1"/>
    <w:next w:val="1"/>
    <w:unhideWhenUsed/>
    <w:uiPriority w:val="39"/>
    <w:pPr>
      <w:adjustRightInd/>
      <w:snapToGrid/>
      <w:spacing w:line="240" w:lineRule="auto"/>
      <w:ind w:left="2520" w:leftChars="1200" w:firstLine="0" w:firstLineChars="0"/>
    </w:pPr>
    <w:rPr>
      <w:rFonts w:ascii="Calibri" w:hAnsi="Calibri"/>
      <w:sz w:val="21"/>
    </w:rPr>
  </w:style>
  <w:style w:type="paragraph" w:styleId="10">
    <w:name w:val="E-mail Signature"/>
    <w:basedOn w:val="1"/>
    <w:next w:val="1"/>
    <w:link w:val="311"/>
    <w:unhideWhenUsed/>
    <w:uiPriority w:val="99"/>
    <w:pPr>
      <w:spacing w:line="460" w:lineRule="exact"/>
      <w:ind w:firstLine="0" w:firstLineChars="0"/>
      <w:jc w:val="center"/>
    </w:pPr>
    <w:rPr>
      <w:szCs w:val="24"/>
    </w:rPr>
  </w:style>
  <w:style w:type="paragraph" w:styleId="11">
    <w:name w:val="Normal Indent"/>
    <w:basedOn w:val="1"/>
    <w:link w:val="73"/>
    <w:uiPriority w:val="0"/>
    <w:pPr>
      <w:adjustRightInd/>
      <w:snapToGrid/>
      <w:spacing w:line="240" w:lineRule="auto"/>
      <w:ind w:firstLine="420"/>
    </w:pPr>
    <w:rPr>
      <w:kern w:val="0"/>
      <w:sz w:val="20"/>
      <w:szCs w:val="24"/>
      <w:lang w:val="zh-CN" w:eastAsia="zh-CN"/>
    </w:rPr>
  </w:style>
  <w:style w:type="paragraph" w:styleId="12">
    <w:name w:val="caption"/>
    <w:basedOn w:val="1"/>
    <w:next w:val="1"/>
    <w:unhideWhenUsed/>
    <w:uiPriority w:val="35"/>
    <w:pPr>
      <w:adjustRightInd/>
      <w:snapToGrid/>
      <w:spacing w:line="240" w:lineRule="auto"/>
      <w:ind w:firstLine="0" w:firstLineChars="0"/>
    </w:pPr>
    <w:rPr>
      <w:rFonts w:ascii="Calibri Light" w:hAnsi="Calibri Light" w:eastAsia="黑体"/>
      <w:sz w:val="20"/>
      <w:szCs w:val="20"/>
    </w:rPr>
  </w:style>
  <w:style w:type="paragraph" w:styleId="13">
    <w:name w:val="Document Map"/>
    <w:basedOn w:val="1"/>
    <w:link w:val="89"/>
    <w:unhideWhenUsed/>
    <w:uiPriority w:val="99"/>
    <w:pPr>
      <w:adjustRightInd/>
      <w:snapToGrid/>
      <w:spacing w:line="240" w:lineRule="auto"/>
      <w:ind w:firstLine="0" w:firstLineChars="0"/>
    </w:pPr>
    <w:rPr>
      <w:rFonts w:ascii="宋体" w:hAnsi="黑体" w:eastAsia="黑体"/>
      <w:b/>
      <w:spacing w:val="10"/>
      <w:kern w:val="0"/>
      <w:sz w:val="18"/>
      <w:szCs w:val="18"/>
      <w:lang w:val="zh-CN" w:eastAsia="zh-CN"/>
    </w:rPr>
  </w:style>
  <w:style w:type="paragraph" w:styleId="14">
    <w:name w:val="annotation text"/>
    <w:basedOn w:val="1"/>
    <w:link w:val="96"/>
    <w:unhideWhenUsed/>
    <w:uiPriority w:val="99"/>
    <w:pPr>
      <w:adjustRightInd/>
      <w:snapToGrid/>
      <w:spacing w:line="240" w:lineRule="auto"/>
      <w:ind w:firstLine="0" w:firstLineChars="0"/>
      <w:jc w:val="left"/>
    </w:pPr>
    <w:rPr>
      <w:sz w:val="21"/>
      <w:szCs w:val="24"/>
      <w:lang w:val="zh-CN" w:eastAsia="zh-CN"/>
    </w:rPr>
  </w:style>
  <w:style w:type="paragraph" w:styleId="15">
    <w:name w:val="Body Text"/>
    <w:basedOn w:val="1"/>
    <w:link w:val="75"/>
    <w:unhideWhenUsed/>
    <w:uiPriority w:val="0"/>
    <w:pPr>
      <w:adjustRightInd/>
      <w:snapToGrid/>
      <w:spacing w:after="120" w:line="240" w:lineRule="auto"/>
      <w:ind w:firstLine="0" w:firstLineChars="0"/>
    </w:pPr>
    <w:rPr>
      <w:sz w:val="21"/>
      <w:lang w:val="zh-CN" w:eastAsia="zh-CN"/>
    </w:rPr>
  </w:style>
  <w:style w:type="paragraph" w:styleId="16">
    <w:name w:val="Body Text Indent"/>
    <w:basedOn w:val="1"/>
    <w:link w:val="74"/>
    <w:uiPriority w:val="99"/>
    <w:pPr>
      <w:adjustRightInd/>
      <w:snapToGrid/>
      <w:spacing w:line="240" w:lineRule="auto"/>
      <w:ind w:firstLine="540" w:firstLineChars="0"/>
    </w:pPr>
    <w:rPr>
      <w:kern w:val="0"/>
      <w:szCs w:val="20"/>
      <w:lang w:val="zh-CN" w:eastAsia="zh-CN"/>
    </w:rPr>
  </w:style>
  <w:style w:type="paragraph" w:styleId="17">
    <w:name w:val="toc 5"/>
    <w:basedOn w:val="1"/>
    <w:next w:val="1"/>
    <w:unhideWhenUsed/>
    <w:uiPriority w:val="39"/>
    <w:pPr>
      <w:adjustRightInd/>
      <w:snapToGrid/>
      <w:spacing w:line="240" w:lineRule="auto"/>
      <w:ind w:left="1680" w:leftChars="800" w:firstLine="0" w:firstLineChars="0"/>
    </w:pPr>
    <w:rPr>
      <w:rFonts w:ascii="Calibri" w:hAnsi="Calibri"/>
      <w:sz w:val="21"/>
    </w:rPr>
  </w:style>
  <w:style w:type="paragraph" w:styleId="18">
    <w:name w:val="toc 3"/>
    <w:basedOn w:val="1"/>
    <w:next w:val="1"/>
    <w:unhideWhenUsed/>
    <w:uiPriority w:val="39"/>
    <w:pPr>
      <w:adjustRightInd/>
      <w:snapToGrid/>
      <w:spacing w:line="240" w:lineRule="auto"/>
      <w:ind w:left="420" w:firstLine="0" w:firstLineChars="0"/>
      <w:jc w:val="left"/>
    </w:pPr>
    <w:rPr>
      <w:i/>
      <w:iCs/>
      <w:sz w:val="20"/>
      <w:szCs w:val="20"/>
    </w:rPr>
  </w:style>
  <w:style w:type="paragraph" w:styleId="19">
    <w:name w:val="Plain Text"/>
    <w:basedOn w:val="1"/>
    <w:link w:val="100"/>
    <w:unhideWhenUsed/>
    <w:uiPriority w:val="99"/>
    <w:pPr>
      <w:adjustRightInd/>
      <w:snapToGrid/>
      <w:spacing w:line="240" w:lineRule="auto"/>
      <w:ind w:firstLine="0" w:firstLineChars="0"/>
    </w:pPr>
    <w:rPr>
      <w:rFonts w:ascii="宋体" w:hAnsi="Courier New"/>
      <w:sz w:val="21"/>
      <w:szCs w:val="21"/>
      <w:lang w:val="zh-CN" w:eastAsia="zh-CN"/>
    </w:rPr>
  </w:style>
  <w:style w:type="paragraph" w:styleId="20">
    <w:name w:val="toc 8"/>
    <w:basedOn w:val="1"/>
    <w:next w:val="1"/>
    <w:unhideWhenUsed/>
    <w:uiPriority w:val="39"/>
    <w:pPr>
      <w:adjustRightInd/>
      <w:snapToGrid/>
      <w:spacing w:line="240" w:lineRule="auto"/>
      <w:ind w:left="2940" w:leftChars="1400" w:firstLine="0" w:firstLineChars="0"/>
    </w:pPr>
    <w:rPr>
      <w:rFonts w:ascii="Calibri" w:hAnsi="Calibri"/>
      <w:sz w:val="21"/>
    </w:rPr>
  </w:style>
  <w:style w:type="paragraph" w:styleId="21">
    <w:name w:val="Date"/>
    <w:basedOn w:val="1"/>
    <w:next w:val="1"/>
    <w:link w:val="149"/>
    <w:semiHidden/>
    <w:unhideWhenUsed/>
    <w:uiPriority w:val="99"/>
    <w:pPr>
      <w:adjustRightInd/>
      <w:snapToGrid/>
      <w:ind w:left="100" w:leftChars="2500"/>
    </w:pPr>
    <w:rPr>
      <w:szCs w:val="24"/>
      <w:lang w:val="zh-CN" w:eastAsia="zh-CN"/>
    </w:rPr>
  </w:style>
  <w:style w:type="paragraph" w:styleId="22">
    <w:name w:val="Body Text Indent 2"/>
    <w:basedOn w:val="1"/>
    <w:link w:val="90"/>
    <w:unhideWhenUsed/>
    <w:uiPriority w:val="0"/>
    <w:pPr>
      <w:adjustRightInd/>
      <w:snapToGrid/>
      <w:spacing w:after="120" w:line="480" w:lineRule="auto"/>
      <w:ind w:left="420" w:leftChars="200" w:firstLine="0" w:firstLineChars="0"/>
    </w:pPr>
    <w:rPr>
      <w:rFonts w:ascii="Calibri" w:hAnsi="Calibri"/>
      <w:kern w:val="0"/>
      <w:sz w:val="20"/>
      <w:szCs w:val="20"/>
    </w:rPr>
  </w:style>
  <w:style w:type="paragraph" w:styleId="23">
    <w:name w:val="Balloon Text"/>
    <w:basedOn w:val="1"/>
    <w:link w:val="155"/>
    <w:semiHidden/>
    <w:unhideWhenUsed/>
    <w:uiPriority w:val="99"/>
    <w:pPr>
      <w:spacing w:line="240" w:lineRule="auto"/>
    </w:pPr>
    <w:rPr>
      <w:sz w:val="18"/>
      <w:szCs w:val="18"/>
      <w:lang w:val="zh-CN" w:eastAsia="zh-CN"/>
    </w:rPr>
  </w:style>
  <w:style w:type="paragraph" w:styleId="24">
    <w:name w:val="footer"/>
    <w:basedOn w:val="1"/>
    <w:link w:val="61"/>
    <w:unhideWhenUsed/>
    <w:qFormat/>
    <w:uiPriority w:val="99"/>
    <w:pPr>
      <w:tabs>
        <w:tab w:val="center" w:pos="4153"/>
        <w:tab w:val="right" w:pos="8306"/>
      </w:tabs>
      <w:spacing w:line="240" w:lineRule="auto"/>
      <w:jc w:val="left"/>
    </w:pPr>
    <w:rPr>
      <w:sz w:val="18"/>
      <w:szCs w:val="18"/>
      <w:lang w:val="zh-CN" w:eastAsia="zh-CN"/>
    </w:rPr>
  </w:style>
  <w:style w:type="paragraph" w:styleId="25">
    <w:name w:val="header"/>
    <w:basedOn w:val="1"/>
    <w:link w:val="60"/>
    <w:unhideWhenUsed/>
    <w:uiPriority w:val="0"/>
    <w:pPr>
      <w:pBdr>
        <w:bottom w:val="single" w:color="auto" w:sz="6" w:space="1"/>
      </w:pBdr>
      <w:tabs>
        <w:tab w:val="center" w:pos="4153"/>
        <w:tab w:val="right" w:pos="8306"/>
      </w:tabs>
      <w:spacing w:line="240" w:lineRule="auto"/>
      <w:jc w:val="center"/>
    </w:pPr>
    <w:rPr>
      <w:sz w:val="18"/>
      <w:szCs w:val="18"/>
      <w:lang w:val="zh-CN" w:eastAsia="zh-CN"/>
    </w:rPr>
  </w:style>
  <w:style w:type="paragraph" w:styleId="26">
    <w:name w:val="toc 1"/>
    <w:basedOn w:val="1"/>
    <w:next w:val="1"/>
    <w:unhideWhenUsed/>
    <w:uiPriority w:val="39"/>
    <w:pPr>
      <w:tabs>
        <w:tab w:val="right" w:leader="dot" w:pos="8777"/>
      </w:tabs>
      <w:adjustRightInd/>
      <w:snapToGrid/>
      <w:spacing w:before="120" w:after="120" w:line="240" w:lineRule="auto"/>
      <w:ind w:firstLine="0" w:firstLineChars="0"/>
      <w:jc w:val="left"/>
    </w:pPr>
    <w:rPr>
      <w:b/>
      <w:bCs/>
      <w:caps/>
      <w:sz w:val="20"/>
      <w:szCs w:val="20"/>
    </w:rPr>
  </w:style>
  <w:style w:type="paragraph" w:styleId="27">
    <w:name w:val="toc 4"/>
    <w:basedOn w:val="1"/>
    <w:next w:val="1"/>
    <w:unhideWhenUsed/>
    <w:uiPriority w:val="39"/>
    <w:pPr>
      <w:adjustRightInd/>
      <w:snapToGrid/>
      <w:spacing w:line="240" w:lineRule="auto"/>
      <w:ind w:left="1260" w:leftChars="600" w:firstLine="0" w:firstLineChars="0"/>
    </w:pPr>
    <w:rPr>
      <w:rFonts w:ascii="Calibri" w:hAnsi="Calibri"/>
      <w:sz w:val="21"/>
    </w:rPr>
  </w:style>
  <w:style w:type="paragraph" w:styleId="28">
    <w:name w:val="List"/>
    <w:basedOn w:val="1"/>
    <w:unhideWhenUsed/>
    <w:uiPriority w:val="99"/>
    <w:pPr>
      <w:spacing w:line="240" w:lineRule="auto"/>
      <w:ind w:firstLine="0" w:firstLineChars="0"/>
    </w:pPr>
    <w:rPr>
      <w:sz w:val="21"/>
      <w:szCs w:val="20"/>
    </w:rPr>
  </w:style>
  <w:style w:type="paragraph" w:styleId="29">
    <w:name w:val="toc 6"/>
    <w:basedOn w:val="1"/>
    <w:next w:val="1"/>
    <w:unhideWhenUsed/>
    <w:qFormat/>
    <w:uiPriority w:val="39"/>
    <w:pPr>
      <w:adjustRightInd/>
      <w:snapToGrid/>
      <w:spacing w:line="240" w:lineRule="auto"/>
      <w:ind w:left="2100" w:leftChars="1000" w:firstLine="0" w:firstLineChars="0"/>
    </w:pPr>
    <w:rPr>
      <w:rFonts w:ascii="Calibri" w:hAnsi="Calibri"/>
      <w:sz w:val="21"/>
    </w:rPr>
  </w:style>
  <w:style w:type="paragraph" w:styleId="30">
    <w:name w:val="toc 2"/>
    <w:basedOn w:val="1"/>
    <w:next w:val="1"/>
    <w:unhideWhenUsed/>
    <w:qFormat/>
    <w:uiPriority w:val="39"/>
    <w:pPr>
      <w:adjustRightInd/>
      <w:snapToGrid/>
      <w:spacing w:line="240" w:lineRule="auto"/>
      <w:ind w:left="210" w:firstLine="0" w:firstLineChars="0"/>
      <w:jc w:val="left"/>
    </w:pPr>
    <w:rPr>
      <w:smallCaps/>
      <w:sz w:val="20"/>
      <w:szCs w:val="20"/>
    </w:rPr>
  </w:style>
  <w:style w:type="paragraph" w:styleId="31">
    <w:name w:val="toc 9"/>
    <w:basedOn w:val="1"/>
    <w:next w:val="1"/>
    <w:unhideWhenUsed/>
    <w:uiPriority w:val="39"/>
    <w:pPr>
      <w:adjustRightInd/>
      <w:snapToGrid/>
      <w:spacing w:line="240" w:lineRule="auto"/>
      <w:ind w:left="3360" w:leftChars="1600" w:firstLine="0" w:firstLineChars="0"/>
    </w:pPr>
    <w:rPr>
      <w:rFonts w:ascii="Calibri" w:hAnsi="Calibri"/>
      <w:sz w:val="21"/>
    </w:rPr>
  </w:style>
  <w:style w:type="paragraph" w:styleId="32">
    <w:name w:val="Normal (Web)"/>
    <w:basedOn w:val="1"/>
    <w:unhideWhenUsed/>
    <w:qFormat/>
    <w:uiPriority w:val="99"/>
    <w:pPr>
      <w:adjustRightInd/>
      <w:snapToGrid/>
      <w:spacing w:line="240" w:lineRule="auto"/>
      <w:ind w:firstLine="0" w:firstLineChars="0"/>
    </w:pPr>
    <w:rPr>
      <w:szCs w:val="20"/>
    </w:rPr>
  </w:style>
  <w:style w:type="paragraph" w:styleId="33">
    <w:name w:val="annotation subject"/>
    <w:basedOn w:val="14"/>
    <w:next w:val="14"/>
    <w:link w:val="153"/>
    <w:semiHidden/>
    <w:unhideWhenUsed/>
    <w:uiPriority w:val="99"/>
    <w:pPr>
      <w:adjustRightInd w:val="0"/>
      <w:snapToGrid w:val="0"/>
      <w:spacing w:line="360" w:lineRule="auto"/>
      <w:ind w:firstLine="200" w:firstLineChars="200"/>
    </w:pPr>
    <w:rPr>
      <w:b/>
      <w:bCs/>
      <w:sz w:val="24"/>
    </w:rPr>
  </w:style>
  <w:style w:type="paragraph" w:styleId="34">
    <w:name w:val="Body Text First Indent"/>
    <w:basedOn w:val="1"/>
    <w:link w:val="68"/>
    <w:uiPriority w:val="99"/>
    <w:pPr>
      <w:tabs>
        <w:tab w:val="left" w:pos="-120"/>
      </w:tabs>
      <w:adjustRightInd/>
      <w:spacing w:after="80" w:line="288" w:lineRule="auto"/>
      <w:ind w:firstLine="454"/>
    </w:pPr>
    <w:rPr>
      <w:color w:val="000000"/>
      <w:kern w:val="0"/>
      <w:szCs w:val="20"/>
      <w:lang w:val="zh-CN" w:eastAsia="zh-CN"/>
    </w:rPr>
  </w:style>
  <w:style w:type="paragraph" w:styleId="35">
    <w:name w:val="Body Text First Indent 2"/>
    <w:basedOn w:val="16"/>
    <w:link w:val="94"/>
    <w:unhideWhenUsed/>
    <w:uiPriority w:val="0"/>
    <w:pPr>
      <w:spacing w:after="120"/>
      <w:ind w:left="420" w:firstLine="210"/>
    </w:pPr>
    <w:rPr>
      <w:rFonts w:ascii="Calibri" w:hAnsi="Calibri"/>
      <w:sz w:val="20"/>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uiPriority w:val="22"/>
    <w:rPr>
      <w:b/>
      <w:bCs/>
    </w:rPr>
  </w:style>
  <w:style w:type="character" w:styleId="40">
    <w:name w:val="page number"/>
    <w:uiPriority w:val="99"/>
  </w:style>
  <w:style w:type="character" w:styleId="41">
    <w:name w:val="FollowedHyperlink"/>
    <w:semiHidden/>
    <w:unhideWhenUsed/>
    <w:uiPriority w:val="99"/>
    <w:rPr>
      <w:color w:val="954F72"/>
      <w:u w:val="single"/>
    </w:rPr>
  </w:style>
  <w:style w:type="character" w:styleId="42">
    <w:name w:val="Hyperlink"/>
    <w:unhideWhenUsed/>
    <w:qFormat/>
    <w:uiPriority w:val="99"/>
    <w:rPr>
      <w:color w:val="0563C1"/>
      <w:u w:val="single"/>
    </w:rPr>
  </w:style>
  <w:style w:type="character" w:styleId="43">
    <w:name w:val="annotation reference"/>
    <w:unhideWhenUsed/>
    <w:uiPriority w:val="0"/>
    <w:rPr>
      <w:rFonts w:ascii="宋体" w:hAnsi="宋体" w:cs="宋体"/>
      <w:sz w:val="21"/>
      <w:szCs w:val="21"/>
    </w:rPr>
  </w:style>
  <w:style w:type="character" w:customStyle="1" w:styleId="44">
    <w:name w:val="标题 1 字符"/>
    <w:link w:val="2"/>
    <w:uiPriority w:val="9"/>
    <w:rPr>
      <w:rFonts w:ascii="Times New Roman" w:hAnsi="Times New Roman"/>
      <w:b/>
      <w:bCs/>
      <w:kern w:val="44"/>
      <w:sz w:val="32"/>
      <w:szCs w:val="44"/>
      <w:lang w:val="zh-CN" w:eastAsia="zh-CN"/>
    </w:rPr>
  </w:style>
  <w:style w:type="character" w:customStyle="1" w:styleId="45">
    <w:name w:val="标题 2 字符"/>
    <w:link w:val="3"/>
    <w:uiPriority w:val="9"/>
    <w:rPr>
      <w:rFonts w:ascii="Times New Roman" w:hAnsi="Times New Roman"/>
      <w:b/>
      <w:bCs/>
      <w:sz w:val="30"/>
      <w:szCs w:val="32"/>
      <w:lang w:val="zh-CN" w:eastAsia="zh-CN"/>
    </w:rPr>
  </w:style>
  <w:style w:type="character" w:customStyle="1" w:styleId="46">
    <w:name w:val="标题 3 字符"/>
    <w:link w:val="4"/>
    <w:uiPriority w:val="9"/>
    <w:rPr>
      <w:rFonts w:ascii="Times New Roman" w:hAnsi="Times New Roman"/>
      <w:b/>
      <w:bCs/>
      <w:sz w:val="28"/>
      <w:szCs w:val="32"/>
      <w:lang w:val="zh-CN" w:eastAsia="zh-CN"/>
    </w:rPr>
  </w:style>
  <w:style w:type="character" w:customStyle="1" w:styleId="47">
    <w:name w:val="标题 4 字符"/>
    <w:link w:val="5"/>
    <w:uiPriority w:val="9"/>
    <w:rPr>
      <w:rFonts w:ascii="Times New Roman" w:hAnsi="Times New Roman" w:eastAsia="宋体" w:cs="Times New Roman"/>
      <w:b/>
      <w:bCs/>
      <w:sz w:val="24"/>
      <w:szCs w:val="28"/>
    </w:rPr>
  </w:style>
  <w:style w:type="character" w:customStyle="1" w:styleId="48">
    <w:name w:val="标题 5 字符"/>
    <w:link w:val="6"/>
    <w:uiPriority w:val="0"/>
    <w:rPr>
      <w:rFonts w:ascii="Times New Roman" w:hAnsi="Times New Roman" w:eastAsia="宋体"/>
      <w:b/>
      <w:bCs/>
      <w:szCs w:val="28"/>
    </w:rPr>
  </w:style>
  <w:style w:type="character" w:customStyle="1" w:styleId="49">
    <w:name w:val="标题 6 字符"/>
    <w:link w:val="7"/>
    <w:uiPriority w:val="9"/>
    <w:rPr>
      <w:rFonts w:ascii="Calibri Light" w:hAnsi="Calibri Light" w:eastAsia="宋体" w:cs="Times New Roman"/>
      <w:b/>
      <w:bCs/>
      <w:sz w:val="24"/>
      <w:szCs w:val="24"/>
    </w:rPr>
  </w:style>
  <w:style w:type="character" w:customStyle="1" w:styleId="50">
    <w:name w:val="标题 7 字符"/>
    <w:link w:val="8"/>
    <w:uiPriority w:val="9"/>
    <w:rPr>
      <w:rFonts w:ascii="Arial" w:hAnsi="Times New Roman"/>
      <w:b/>
      <w:sz w:val="24"/>
      <w:lang w:val="zh-CN" w:eastAsia="zh-CN"/>
    </w:rPr>
  </w:style>
  <w:style w:type="paragraph" w:customStyle="1" w:styleId="51">
    <w:name w:val="yjz表图标题格式"/>
    <w:basedOn w:val="1"/>
    <w:next w:val="1"/>
    <w:link w:val="52"/>
    <w:qFormat/>
    <w:uiPriority w:val="0"/>
    <w:pPr>
      <w:spacing w:line="240" w:lineRule="auto"/>
      <w:ind w:firstLine="0" w:firstLineChars="0"/>
      <w:jc w:val="center"/>
    </w:pPr>
    <w:rPr>
      <w:b/>
      <w:sz w:val="21"/>
      <w:lang w:val="zh-CN" w:eastAsia="zh-CN"/>
    </w:rPr>
  </w:style>
  <w:style w:type="character" w:customStyle="1" w:styleId="52">
    <w:name w:val="yjz表图标题格式 Char"/>
    <w:link w:val="51"/>
    <w:uiPriority w:val="0"/>
    <w:rPr>
      <w:rFonts w:ascii="Times New Roman" w:hAnsi="Times New Roman"/>
      <w:b/>
      <w:kern w:val="2"/>
      <w:sz w:val="21"/>
      <w:szCs w:val="22"/>
    </w:rPr>
  </w:style>
  <w:style w:type="paragraph" w:styleId="53">
    <w:name w:val="No Spacing"/>
    <w:link w:val="54"/>
    <w:qFormat/>
    <w:uiPriority w:val="1"/>
    <w:pPr>
      <w:widowControl w:val="0"/>
      <w:adjustRightInd w:val="0"/>
      <w:snapToGrid w:val="0"/>
      <w:jc w:val="both"/>
    </w:pPr>
    <w:rPr>
      <w:rFonts w:ascii="Times New Roman" w:hAnsi="Times New Roman" w:eastAsia="宋体" w:cs="Times New Roman"/>
      <w:kern w:val="2"/>
      <w:sz w:val="24"/>
      <w:szCs w:val="22"/>
      <w:lang w:val="en-US" w:eastAsia="zh-CN" w:bidi="ar-SA"/>
    </w:rPr>
  </w:style>
  <w:style w:type="character" w:customStyle="1" w:styleId="54">
    <w:name w:val="无间隔 字符"/>
    <w:link w:val="53"/>
    <w:uiPriority w:val="1"/>
    <w:rPr>
      <w:rFonts w:ascii="Times New Roman" w:hAnsi="Times New Roman"/>
      <w:kern w:val="2"/>
      <w:sz w:val="24"/>
      <w:szCs w:val="22"/>
      <w:lang w:bidi="ar-SA"/>
    </w:rPr>
  </w:style>
  <w:style w:type="paragraph" w:customStyle="1" w:styleId="55">
    <w:name w:val="yjz表格标题"/>
    <w:basedOn w:val="6"/>
    <w:next w:val="56"/>
    <w:link w:val="57"/>
    <w:qFormat/>
    <w:uiPriority w:val="0"/>
    <w:pPr>
      <w:spacing w:line="240" w:lineRule="auto"/>
      <w:jc w:val="center"/>
      <w:outlineLvl w:val="9"/>
    </w:pPr>
    <w:rPr>
      <w:sz w:val="21"/>
    </w:rPr>
  </w:style>
  <w:style w:type="paragraph" w:customStyle="1" w:styleId="56">
    <w:name w:val="yjz表格正文"/>
    <w:basedOn w:val="53"/>
    <w:next w:val="1"/>
    <w:link w:val="64"/>
    <w:qFormat/>
    <w:uiPriority w:val="0"/>
    <w:pPr>
      <w:jc w:val="center"/>
    </w:pPr>
    <w:rPr>
      <w:sz w:val="21"/>
      <w:lang w:val="zh-CN" w:eastAsia="zh-CN"/>
    </w:rPr>
  </w:style>
  <w:style w:type="character" w:customStyle="1" w:styleId="57">
    <w:name w:val="yjz表格标题 字符"/>
    <w:link w:val="55"/>
    <w:qFormat/>
    <w:uiPriority w:val="0"/>
    <w:rPr>
      <w:rFonts w:ascii="Times New Roman" w:hAnsi="Times New Roman"/>
      <w:b/>
      <w:bCs/>
      <w:sz w:val="21"/>
      <w:szCs w:val="28"/>
      <w:lang w:val="zh-CN" w:eastAsia="zh-CN"/>
    </w:rPr>
  </w:style>
  <w:style w:type="paragraph" w:customStyle="1" w:styleId="58">
    <w:name w:val="yjz图片标题"/>
    <w:basedOn w:val="55"/>
    <w:next w:val="1"/>
    <w:link w:val="59"/>
    <w:qFormat/>
    <w:uiPriority w:val="0"/>
    <w:pPr>
      <w:numPr>
        <w:ilvl w:val="4"/>
        <w:numId w:val="1"/>
      </w:numPr>
    </w:pPr>
  </w:style>
  <w:style w:type="character" w:customStyle="1" w:styleId="59">
    <w:name w:val="yjz图片标题 字符"/>
    <w:link w:val="58"/>
    <w:uiPriority w:val="0"/>
    <w:rPr>
      <w:rFonts w:ascii="Times New Roman" w:hAnsi="Times New Roman"/>
      <w:b/>
      <w:bCs/>
      <w:sz w:val="21"/>
      <w:szCs w:val="28"/>
      <w:lang w:val="zh-CN" w:eastAsia="zh-CN"/>
    </w:rPr>
  </w:style>
  <w:style w:type="character" w:customStyle="1" w:styleId="60">
    <w:name w:val="页眉 字符"/>
    <w:link w:val="25"/>
    <w:uiPriority w:val="0"/>
    <w:rPr>
      <w:rFonts w:ascii="Times New Roman" w:hAnsi="Times New Roman"/>
      <w:kern w:val="2"/>
      <w:sz w:val="18"/>
      <w:szCs w:val="18"/>
    </w:rPr>
  </w:style>
  <w:style w:type="character" w:customStyle="1" w:styleId="61">
    <w:name w:val="页脚 字符1"/>
    <w:link w:val="24"/>
    <w:uiPriority w:val="99"/>
    <w:rPr>
      <w:rFonts w:ascii="Times New Roman" w:hAnsi="Times New Roman"/>
      <w:kern w:val="2"/>
      <w:sz w:val="18"/>
      <w:szCs w:val="18"/>
    </w:rPr>
  </w:style>
  <w:style w:type="paragraph" w:customStyle="1" w:styleId="62">
    <w:name w:val="yjz页眉页脚格式"/>
    <w:basedOn w:val="1"/>
    <w:next w:val="1"/>
    <w:link w:val="63"/>
    <w:qFormat/>
    <w:uiPriority w:val="0"/>
    <w:pPr>
      <w:pBdr>
        <w:bottom w:val="single" w:color="auto" w:sz="4" w:space="1"/>
      </w:pBdr>
      <w:spacing w:line="240" w:lineRule="auto"/>
      <w:ind w:firstLine="0" w:firstLineChars="0"/>
      <w:jc w:val="center"/>
      <w:textAlignment w:val="center"/>
    </w:pPr>
    <w:rPr>
      <w:sz w:val="18"/>
      <w:lang w:val="zh-CN" w:eastAsia="zh-CN"/>
    </w:rPr>
  </w:style>
  <w:style w:type="character" w:customStyle="1" w:styleId="63">
    <w:name w:val="yjz页眉页脚格式 Char"/>
    <w:link w:val="62"/>
    <w:uiPriority w:val="0"/>
    <w:rPr>
      <w:rFonts w:ascii="Times New Roman" w:hAnsi="Times New Roman"/>
      <w:kern w:val="2"/>
      <w:sz w:val="18"/>
      <w:szCs w:val="22"/>
    </w:rPr>
  </w:style>
  <w:style w:type="character" w:customStyle="1" w:styleId="64">
    <w:name w:val="yjz表格正文 Char"/>
    <w:link w:val="56"/>
    <w:qFormat/>
    <w:uiPriority w:val="0"/>
    <w:rPr>
      <w:rFonts w:ascii="Times New Roman" w:hAnsi="Times New Roman"/>
      <w:kern w:val="2"/>
      <w:sz w:val="21"/>
      <w:szCs w:val="22"/>
    </w:rPr>
  </w:style>
  <w:style w:type="table" w:customStyle="1" w:styleId="65">
    <w:name w:val="杨杰忠表格格式"/>
    <w:basedOn w:val="36"/>
    <w:qFormat/>
    <w:uiPriority w:val="99"/>
    <w:pPr>
      <w:adjustRightInd w:val="0"/>
      <w:snapToGrid w:val="0"/>
      <w:jc w:val="center"/>
    </w:pPr>
    <w:rPr>
      <w:rFonts w:ascii="Times New Roman" w:hAnsi="Times New Roman"/>
      <w:sz w:val="21"/>
    </w:rPr>
    <w:tblPr>
      <w:jc w:val="center"/>
      <w:tblBorders>
        <w:top w:val="single" w:color="auto" w:sz="12" w:space="0"/>
        <w:bottom w:val="single" w:color="auto" w:sz="12" w:space="0"/>
        <w:insideH w:val="single" w:color="auto" w:sz="6" w:space="0"/>
        <w:insideV w:val="single" w:color="auto" w:sz="6" w:space="0"/>
      </w:tblBorders>
    </w:tblPr>
    <w:trPr>
      <w:jc w:val="center"/>
    </w:trPr>
    <w:tcPr>
      <w:vAlign w:val="center"/>
    </w:tcPr>
  </w:style>
  <w:style w:type="paragraph" w:customStyle="1" w:styleId="66">
    <w:name w:val="表格"/>
    <w:basedOn w:val="56"/>
    <w:link w:val="67"/>
    <w:uiPriority w:val="0"/>
  </w:style>
  <w:style w:type="character" w:customStyle="1" w:styleId="67">
    <w:name w:val="表格 Char"/>
    <w:basedOn w:val="64"/>
    <w:link w:val="66"/>
    <w:qFormat/>
    <w:uiPriority w:val="0"/>
    <w:rPr>
      <w:rFonts w:ascii="Times New Roman" w:hAnsi="Times New Roman"/>
      <w:kern w:val="2"/>
      <w:sz w:val="21"/>
      <w:szCs w:val="22"/>
    </w:rPr>
  </w:style>
  <w:style w:type="character" w:customStyle="1" w:styleId="68">
    <w:name w:val="正文文本首行缩进 字符"/>
    <w:link w:val="34"/>
    <w:uiPriority w:val="99"/>
    <w:rPr>
      <w:rFonts w:ascii="Times New Roman" w:hAnsi="Times New Roman"/>
      <w:color w:val="000000"/>
      <w:sz w:val="24"/>
    </w:rPr>
  </w:style>
  <w:style w:type="character" w:customStyle="1" w:styleId="69">
    <w:name w:val="正文格式 Char"/>
    <w:link w:val="70"/>
    <w:uiPriority w:val="0"/>
    <w:rPr>
      <w:rFonts w:ascii="宋体" w:hAnsi="宋体"/>
      <w:sz w:val="24"/>
      <w:szCs w:val="24"/>
    </w:rPr>
  </w:style>
  <w:style w:type="paragraph" w:customStyle="1" w:styleId="70">
    <w:name w:val="正文格式"/>
    <w:basedOn w:val="1"/>
    <w:link w:val="69"/>
    <w:uiPriority w:val="0"/>
    <w:pPr>
      <w:adjustRightInd/>
      <w:snapToGrid/>
      <w:ind w:firstLine="482" w:firstLineChars="0"/>
    </w:pPr>
    <w:rPr>
      <w:rFonts w:ascii="宋体" w:hAnsi="宋体"/>
      <w:kern w:val="0"/>
      <w:szCs w:val="24"/>
      <w:lang w:val="zh-CN" w:eastAsia="zh-CN"/>
    </w:rPr>
  </w:style>
  <w:style w:type="character" w:customStyle="1" w:styleId="71">
    <w:name w:val="图题 Char"/>
    <w:link w:val="72"/>
    <w:uiPriority w:val="0"/>
    <w:rPr>
      <w:rFonts w:ascii="Times New Roman" w:hAnsi="Times New Roman" w:eastAsia="黑体"/>
      <w:b/>
      <w:sz w:val="24"/>
      <w:szCs w:val="24"/>
    </w:rPr>
  </w:style>
  <w:style w:type="paragraph" w:customStyle="1" w:styleId="72">
    <w:name w:val="图题"/>
    <w:basedOn w:val="1"/>
    <w:link w:val="71"/>
    <w:uiPriority w:val="0"/>
    <w:pPr>
      <w:adjustRightInd/>
      <w:snapToGrid/>
      <w:ind w:firstLine="0" w:firstLineChars="0"/>
      <w:jc w:val="center"/>
    </w:pPr>
    <w:rPr>
      <w:rFonts w:eastAsia="黑体"/>
      <w:b/>
      <w:kern w:val="0"/>
      <w:szCs w:val="24"/>
      <w:lang w:val="zh-CN" w:eastAsia="zh-CN"/>
    </w:rPr>
  </w:style>
  <w:style w:type="character" w:customStyle="1" w:styleId="73">
    <w:name w:val="正文缩进 字符"/>
    <w:link w:val="11"/>
    <w:uiPriority w:val="0"/>
    <w:rPr>
      <w:rFonts w:ascii="Times New Roman" w:hAnsi="Times New Roman"/>
      <w:szCs w:val="24"/>
    </w:rPr>
  </w:style>
  <w:style w:type="character" w:customStyle="1" w:styleId="74">
    <w:name w:val="正文文本缩进 字符"/>
    <w:link w:val="16"/>
    <w:uiPriority w:val="99"/>
    <w:rPr>
      <w:rFonts w:ascii="Times New Roman" w:hAnsi="Times New Roman"/>
      <w:sz w:val="24"/>
    </w:rPr>
  </w:style>
  <w:style w:type="character" w:customStyle="1" w:styleId="75">
    <w:name w:val="正文文本 字符"/>
    <w:link w:val="15"/>
    <w:uiPriority w:val="0"/>
    <w:rPr>
      <w:rFonts w:ascii="Times New Roman" w:hAnsi="Times New Roman"/>
      <w:kern w:val="2"/>
      <w:sz w:val="21"/>
      <w:szCs w:val="22"/>
    </w:rPr>
  </w:style>
  <w:style w:type="character" w:customStyle="1" w:styleId="76">
    <w:name w:val="正文首行缩进 Char1"/>
    <w:basedOn w:val="75"/>
    <w:uiPriority w:val="0"/>
    <w:rPr>
      <w:rFonts w:ascii="Times New Roman" w:hAnsi="Times New Roman"/>
      <w:kern w:val="2"/>
      <w:sz w:val="21"/>
      <w:szCs w:val="22"/>
    </w:rPr>
  </w:style>
  <w:style w:type="character" w:customStyle="1" w:styleId="77">
    <w:name w:val="正文文本缩进 Char1"/>
    <w:semiHidden/>
    <w:uiPriority w:val="99"/>
    <w:rPr>
      <w:rFonts w:ascii="Times New Roman" w:hAnsi="Times New Roman"/>
      <w:kern w:val="2"/>
      <w:sz w:val="24"/>
      <w:szCs w:val="22"/>
    </w:rPr>
  </w:style>
  <w:style w:type="paragraph" w:customStyle="1" w:styleId="78">
    <w:name w:val="表题151"/>
    <w:basedOn w:val="12"/>
    <w:uiPriority w:val="0"/>
    <w:pPr>
      <w:spacing w:line="360" w:lineRule="auto"/>
      <w:jc w:val="center"/>
    </w:pPr>
    <w:rPr>
      <w:rFonts w:ascii="黑体" w:hAnsi="Arial" w:cs="Arial"/>
      <w:b/>
      <w:sz w:val="24"/>
      <w:szCs w:val="24"/>
    </w:rPr>
  </w:style>
  <w:style w:type="paragraph" w:customStyle="1" w:styleId="79">
    <w:name w:val="【表头】"/>
    <w:basedOn w:val="1"/>
    <w:uiPriority w:val="0"/>
    <w:pPr>
      <w:adjustRightInd/>
      <w:snapToGrid/>
      <w:spacing w:line="240" w:lineRule="auto"/>
      <w:ind w:firstLine="0" w:firstLineChars="0"/>
      <w:jc w:val="center"/>
    </w:pPr>
    <w:rPr>
      <w:rFonts w:eastAsia="黑体" w:cs="Arial"/>
      <w:szCs w:val="24"/>
    </w:rPr>
  </w:style>
  <w:style w:type="paragraph" w:customStyle="1" w:styleId="80">
    <w:name w:val="表头文字"/>
    <w:basedOn w:val="1"/>
    <w:uiPriority w:val="0"/>
    <w:pPr>
      <w:widowControl/>
      <w:snapToGrid/>
      <w:ind w:firstLine="0" w:firstLineChars="0"/>
      <w:jc w:val="center"/>
      <w:textAlignment w:val="baseline"/>
    </w:pPr>
    <w:rPr>
      <w:b/>
      <w:kern w:val="0"/>
      <w:szCs w:val="24"/>
    </w:rPr>
  </w:style>
  <w:style w:type="paragraph" w:customStyle="1" w:styleId="81">
    <w:name w:val="【表格】"/>
    <w:next w:val="34"/>
    <w:uiPriority w:val="0"/>
    <w:pPr>
      <w:jc w:val="center"/>
    </w:pPr>
    <w:rPr>
      <w:rFonts w:ascii="Times New Roman" w:hAnsi="Times New Roman" w:eastAsia="宋体" w:cs="Times New Roman"/>
      <w:sz w:val="21"/>
      <w:szCs w:val="24"/>
      <w:lang w:val="en-US" w:eastAsia="zh-CN" w:bidi="ar-SA"/>
    </w:rPr>
  </w:style>
  <w:style w:type="paragraph" w:customStyle="1" w:styleId="82">
    <w:name w:val="【图片】"/>
    <w:next w:val="34"/>
    <w:uiPriority w:val="0"/>
    <w:pPr>
      <w:jc w:val="center"/>
    </w:pPr>
    <w:rPr>
      <w:rFonts w:ascii="宋体" w:hAnsi="宋体" w:eastAsia="宋体" w:cs="宋体"/>
      <w:sz w:val="24"/>
      <w:szCs w:val="24"/>
      <w:lang w:val="en-US" w:eastAsia="zh-CN" w:bidi="ar-SA"/>
    </w:rPr>
  </w:style>
  <w:style w:type="paragraph" w:customStyle="1" w:styleId="83">
    <w:name w:val="【图题】"/>
    <w:next w:val="34"/>
    <w:uiPriority w:val="0"/>
    <w:pPr>
      <w:jc w:val="center"/>
    </w:pPr>
    <w:rPr>
      <w:rFonts w:ascii="Times New Roman" w:hAnsi="Times New Roman" w:eastAsia="黑体" w:cs="宋体"/>
      <w:sz w:val="24"/>
      <w:szCs w:val="24"/>
      <w:lang w:val="en-US" w:eastAsia="zh-CN" w:bidi="ar-SA"/>
    </w:rPr>
  </w:style>
  <w:style w:type="character" w:customStyle="1" w:styleId="84">
    <w:name w:val="样式 表内小5 + 黑体 加粗 倾斜 下划线 Char"/>
    <w:link w:val="85"/>
    <w:uiPriority w:val="0"/>
    <w:rPr>
      <w:rFonts w:ascii="黑体" w:hAnsi="黑体" w:eastAsia="黑体"/>
      <w:b/>
      <w:bCs/>
      <w:i/>
      <w:iCs/>
      <w:sz w:val="18"/>
      <w:szCs w:val="24"/>
      <w:u w:val="single"/>
    </w:rPr>
  </w:style>
  <w:style w:type="paragraph" w:customStyle="1" w:styleId="85">
    <w:name w:val="样式 表内小5 + 黑体 加粗 倾斜 下划线"/>
    <w:basedOn w:val="1"/>
    <w:link w:val="84"/>
    <w:uiPriority w:val="0"/>
    <w:pPr>
      <w:spacing w:line="300" w:lineRule="auto"/>
      <w:ind w:firstLine="0" w:firstLineChars="0"/>
      <w:jc w:val="left"/>
    </w:pPr>
    <w:rPr>
      <w:rFonts w:ascii="黑体" w:hAnsi="黑体" w:eastAsia="黑体"/>
      <w:b/>
      <w:bCs/>
      <w:i/>
      <w:iCs/>
      <w:kern w:val="0"/>
      <w:sz w:val="18"/>
      <w:szCs w:val="24"/>
      <w:u w:val="single"/>
      <w:lang w:val="zh-CN" w:eastAsia="zh-CN"/>
    </w:rPr>
  </w:style>
  <w:style w:type="character" w:customStyle="1" w:styleId="86">
    <w:name w:val="表格内字体 Char"/>
    <w:link w:val="87"/>
    <w:uiPriority w:val="0"/>
  </w:style>
  <w:style w:type="paragraph" w:customStyle="1" w:styleId="87">
    <w:name w:val="表格内字体"/>
    <w:basedOn w:val="70"/>
    <w:next w:val="70"/>
    <w:link w:val="86"/>
    <w:uiPriority w:val="0"/>
    <w:pPr>
      <w:spacing w:line="240" w:lineRule="auto"/>
      <w:ind w:firstLine="0"/>
      <w:jc w:val="center"/>
    </w:pPr>
    <w:rPr>
      <w:rFonts w:ascii="Calibri" w:hAnsi="Calibri"/>
      <w:sz w:val="20"/>
      <w:szCs w:val="20"/>
    </w:rPr>
  </w:style>
  <w:style w:type="character" w:customStyle="1" w:styleId="88">
    <w:name w:val="正文四（hwl） Char"/>
    <w:uiPriority w:val="0"/>
    <w:rPr>
      <w:rFonts w:ascii="楷体_GB2312" w:hAnsi="宋体" w:eastAsia="楷体_GB2312"/>
      <w:kern w:val="2"/>
      <w:sz w:val="24"/>
      <w:szCs w:val="28"/>
      <w:lang w:val="en-US" w:eastAsia="zh-CN" w:bidi="ar-SA"/>
    </w:rPr>
  </w:style>
  <w:style w:type="character" w:customStyle="1" w:styleId="89">
    <w:name w:val="文档结构图 字符"/>
    <w:link w:val="13"/>
    <w:uiPriority w:val="99"/>
    <w:rPr>
      <w:rFonts w:ascii="宋体" w:hAnsi="黑体" w:eastAsia="黑体"/>
      <w:b/>
      <w:spacing w:val="10"/>
      <w:sz w:val="18"/>
      <w:szCs w:val="18"/>
    </w:rPr>
  </w:style>
  <w:style w:type="character" w:customStyle="1" w:styleId="90">
    <w:name w:val="正文文本缩进 2 字符"/>
    <w:link w:val="22"/>
    <w:uiPriority w:val="0"/>
  </w:style>
  <w:style w:type="character" w:customStyle="1" w:styleId="91">
    <w:name w:val="标题 4 Char11"/>
    <w:uiPriority w:val="0"/>
    <w:rPr>
      <w:rFonts w:hint="eastAsia" w:ascii="隶书" w:hAnsi="Arial" w:eastAsia="隶书" w:cs="隶书"/>
      <w:bCs/>
      <w:sz w:val="28"/>
      <w:szCs w:val="28"/>
      <w:lang w:val="en-US" w:eastAsia="zh-CN" w:bidi="ar-SA"/>
    </w:rPr>
  </w:style>
  <w:style w:type="character" w:customStyle="1" w:styleId="92">
    <w:name w:val="表格hwl Char"/>
    <w:link w:val="93"/>
    <w:uiPriority w:val="0"/>
    <w:rPr>
      <w:rFonts w:ascii="宋体" w:hAnsi="宋体"/>
      <w:szCs w:val="24"/>
    </w:rPr>
  </w:style>
  <w:style w:type="paragraph" w:customStyle="1" w:styleId="93">
    <w:name w:val="表格hwl"/>
    <w:basedOn w:val="87"/>
    <w:link w:val="92"/>
    <w:uiPriority w:val="0"/>
    <w:rPr>
      <w:rFonts w:ascii="宋体" w:hAnsi="宋体"/>
      <w:szCs w:val="24"/>
    </w:rPr>
  </w:style>
  <w:style w:type="character" w:customStyle="1" w:styleId="94">
    <w:name w:val="正文文本首行缩进 2 字符"/>
    <w:link w:val="35"/>
    <w:uiPriority w:val="0"/>
  </w:style>
  <w:style w:type="paragraph" w:customStyle="1" w:styleId="95">
    <w:name w:val="Char Char Char Char Char Char Char1"/>
    <w:basedOn w:val="1"/>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character" w:customStyle="1" w:styleId="96">
    <w:name w:val="批注文字 字符"/>
    <w:link w:val="14"/>
    <w:uiPriority w:val="99"/>
    <w:rPr>
      <w:rFonts w:ascii="Times New Roman" w:hAnsi="Times New Roman"/>
      <w:kern w:val="2"/>
      <w:sz w:val="21"/>
      <w:szCs w:val="24"/>
    </w:rPr>
  </w:style>
  <w:style w:type="character" w:customStyle="1" w:styleId="97">
    <w:name w:val="正文首行缩进 2 Char1"/>
    <w:semiHidden/>
    <w:uiPriority w:val="99"/>
    <w:rPr>
      <w:rFonts w:ascii="Times New Roman" w:hAnsi="Times New Roman"/>
      <w:kern w:val="2"/>
      <w:sz w:val="24"/>
      <w:szCs w:val="22"/>
    </w:rPr>
  </w:style>
  <w:style w:type="character" w:customStyle="1" w:styleId="98">
    <w:name w:val="文档结构图 Char1"/>
    <w:semiHidden/>
    <w:uiPriority w:val="99"/>
    <w:rPr>
      <w:rFonts w:ascii="Microsoft YaHei UI" w:hAnsi="Times New Roman" w:eastAsia="Microsoft YaHei UI"/>
      <w:kern w:val="2"/>
      <w:sz w:val="18"/>
      <w:szCs w:val="18"/>
    </w:rPr>
  </w:style>
  <w:style w:type="paragraph" w:customStyle="1" w:styleId="99">
    <w:name w:val="In Table"/>
    <w:basedOn w:val="1"/>
    <w:uiPriority w:val="0"/>
    <w:pPr>
      <w:tabs>
        <w:tab w:val="left" w:pos="3960"/>
        <w:tab w:val="left" w:pos="5280"/>
      </w:tabs>
      <w:adjustRightInd/>
      <w:spacing w:before="62" w:beforeLines="20" w:after="96" w:line="0" w:lineRule="atLeast"/>
      <w:ind w:firstLine="0" w:firstLineChars="0"/>
      <w:jc w:val="center"/>
    </w:pPr>
    <w:rPr>
      <w:rFonts w:ascii="Tahoma" w:hAnsi="Tahoma" w:eastAsia="华文中宋"/>
      <w:bCs/>
      <w:sz w:val="21"/>
      <w:szCs w:val="20"/>
    </w:rPr>
  </w:style>
  <w:style w:type="character" w:customStyle="1" w:styleId="100">
    <w:name w:val="纯文本 字符"/>
    <w:link w:val="19"/>
    <w:uiPriority w:val="99"/>
    <w:rPr>
      <w:rFonts w:ascii="宋体" w:hAnsi="Courier New" w:cs="黑体"/>
      <w:kern w:val="2"/>
      <w:sz w:val="21"/>
      <w:szCs w:val="21"/>
    </w:rPr>
  </w:style>
  <w:style w:type="character" w:customStyle="1" w:styleId="101">
    <w:name w:val="正文文本缩进 2 Char1"/>
    <w:semiHidden/>
    <w:uiPriority w:val="99"/>
    <w:rPr>
      <w:rFonts w:ascii="Times New Roman" w:hAnsi="Times New Roman"/>
      <w:kern w:val="2"/>
      <w:sz w:val="24"/>
      <w:szCs w:val="22"/>
    </w:rPr>
  </w:style>
  <w:style w:type="paragraph" w:customStyle="1" w:styleId="102">
    <w:name w:val="ky-txt Char"/>
    <w:uiPriority w:val="0"/>
    <w:pPr>
      <w:spacing w:line="360" w:lineRule="auto"/>
      <w:ind w:firstLine="480" w:firstLineChars="200"/>
    </w:pPr>
    <w:rPr>
      <w:rFonts w:ascii="宋体" w:hAnsi="宋体" w:eastAsia="宋体" w:cs="Times New Roman"/>
      <w:bCs/>
      <w:kern w:val="2"/>
      <w:sz w:val="24"/>
      <w:szCs w:val="24"/>
      <w:lang w:val="en-US" w:eastAsia="zh-CN" w:bidi="ar-SA"/>
    </w:rPr>
  </w:style>
  <w:style w:type="paragraph" w:customStyle="1" w:styleId="103">
    <w:name w:val="正文(hwl)"/>
    <w:basedOn w:val="1"/>
    <w:next w:val="104"/>
    <w:uiPriority w:val="0"/>
    <w:pPr>
      <w:adjustRightInd/>
      <w:snapToGrid/>
      <w:ind w:firstLine="480"/>
    </w:pPr>
    <w:rPr>
      <w:rFonts w:cs="宋体"/>
      <w:szCs w:val="20"/>
    </w:rPr>
  </w:style>
  <w:style w:type="paragraph" w:customStyle="1" w:styleId="104">
    <w:name w:val="样式 正文缩进正文（首行缩进两字） Char Char Char Char Char Char正文（首行缩进两字） Char..."/>
    <w:basedOn w:val="11"/>
    <w:qFormat/>
    <w:uiPriority w:val="0"/>
    <w:pPr>
      <w:spacing w:line="360" w:lineRule="auto"/>
      <w:ind w:firstLine="480"/>
    </w:pPr>
    <w:rPr>
      <w:rFonts w:ascii="宋体" w:hAnsi="宋体" w:cs="宋体"/>
      <w:color w:val="000000"/>
      <w:kern w:val="2"/>
      <w:sz w:val="24"/>
      <w:szCs w:val="20"/>
    </w:rPr>
  </w:style>
  <w:style w:type="paragraph" w:customStyle="1" w:styleId="105">
    <w:name w:val="Table-(II)"/>
    <w:basedOn w:val="1"/>
    <w:uiPriority w:val="0"/>
    <w:pPr>
      <w:tabs>
        <w:tab w:val="left" w:pos="2200"/>
        <w:tab w:val="left" w:pos="3960"/>
        <w:tab w:val="left" w:pos="5280"/>
      </w:tabs>
      <w:adjustRightInd/>
      <w:snapToGrid/>
      <w:spacing w:before="93" w:beforeLines="30" w:line="240" w:lineRule="auto"/>
      <w:ind w:left="42" w:leftChars="20" w:firstLine="162" w:firstLineChars="0"/>
      <w:jc w:val="center"/>
    </w:pPr>
    <w:rPr>
      <w:rFonts w:ascii="Arial" w:hAnsi="Arial" w:cs="宋体"/>
      <w:color w:val="000000"/>
      <w:kern w:val="0"/>
      <w:sz w:val="21"/>
      <w:szCs w:val="19"/>
    </w:rPr>
  </w:style>
  <w:style w:type="paragraph" w:customStyle="1" w:styleId="106">
    <w:name w:val="In Table (II)"/>
    <w:basedOn w:val="99"/>
    <w:uiPriority w:val="0"/>
    <w:pPr>
      <w:tabs>
        <w:tab w:val="left" w:pos="2200"/>
        <w:tab w:val="clear" w:pos="3960"/>
        <w:tab w:val="clear" w:pos="5280"/>
      </w:tabs>
      <w:adjustRightInd w:val="0"/>
      <w:spacing w:before="156" w:beforeLines="50" w:after="93" w:afterLines="30" w:line="240" w:lineRule="auto"/>
    </w:pPr>
    <w:rPr>
      <w:rFonts w:ascii="Arial" w:hAnsi="宋体" w:eastAsia="宋体" w:cs="Arial"/>
      <w:sz w:val="24"/>
      <w:szCs w:val="24"/>
    </w:rPr>
  </w:style>
  <w:style w:type="paragraph" w:customStyle="1" w:styleId="107">
    <w:name w:val="列出段落1"/>
    <w:basedOn w:val="1"/>
    <w:qFormat/>
    <w:uiPriority w:val="0"/>
    <w:pPr>
      <w:adjustRightInd/>
      <w:snapToGrid/>
      <w:spacing w:line="240" w:lineRule="auto"/>
      <w:ind w:firstLine="420"/>
    </w:pPr>
    <w:rPr>
      <w:rFonts w:ascii="Calibri" w:hAnsi="Calibri"/>
      <w:sz w:val="21"/>
      <w:szCs w:val="20"/>
    </w:rPr>
  </w:style>
  <w:style w:type="paragraph" w:customStyle="1" w:styleId="108">
    <w:name w:val="c"/>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09">
    <w:name w:val="Char Char Char Char Char Char Char Char Char Char"/>
    <w:basedOn w:val="1"/>
    <w:uiPriority w:val="0"/>
    <w:pPr>
      <w:adjustRightInd/>
      <w:snapToGrid/>
      <w:spacing w:line="240" w:lineRule="auto"/>
      <w:ind w:firstLine="0" w:firstLineChars="0"/>
    </w:pPr>
    <w:rPr>
      <w:rFonts w:ascii="黑体" w:hAnsi="黑体" w:eastAsia="黑体"/>
      <w:b/>
      <w:spacing w:val="10"/>
      <w:sz w:val="28"/>
      <w:szCs w:val="20"/>
    </w:rPr>
  </w:style>
  <w:style w:type="paragraph" w:customStyle="1" w:styleId="110">
    <w:name w:val="表格标题—小四"/>
    <w:basedOn w:val="1"/>
    <w:uiPriority w:val="0"/>
    <w:pPr>
      <w:adjustRightInd/>
      <w:snapToGrid/>
      <w:spacing w:before="100" w:beforeAutospacing="1" w:after="100" w:afterAutospacing="1" w:line="312" w:lineRule="auto"/>
      <w:ind w:firstLine="0" w:firstLineChars="0"/>
      <w:jc w:val="center"/>
    </w:pPr>
    <w:rPr>
      <w:b/>
      <w:szCs w:val="24"/>
    </w:rPr>
  </w:style>
  <w:style w:type="paragraph" w:customStyle="1" w:styleId="111">
    <w:name w:val="Char Char Char"/>
    <w:basedOn w:val="1"/>
    <w:uiPriority w:val="0"/>
    <w:pPr>
      <w:adjustRightInd/>
      <w:snapToGrid/>
    </w:pPr>
    <w:rPr>
      <w:rFonts w:ascii="宋体" w:hAnsi="宋体" w:cs="宋体"/>
      <w:szCs w:val="24"/>
    </w:rPr>
  </w:style>
  <w:style w:type="paragraph" w:customStyle="1" w:styleId="112">
    <w:name w:val="样式 首行缩进:  2 字符"/>
    <w:basedOn w:val="1"/>
    <w:uiPriority w:val="0"/>
    <w:pPr>
      <w:adjustRightInd/>
      <w:snapToGrid/>
      <w:spacing w:before="100" w:beforeAutospacing="1" w:after="100" w:afterAutospacing="1" w:line="240" w:lineRule="auto"/>
      <w:ind w:firstLine="480"/>
    </w:pPr>
    <w:rPr>
      <w:rFonts w:cs="宋体"/>
      <w:szCs w:val="20"/>
    </w:rPr>
  </w:style>
  <w:style w:type="paragraph" w:customStyle="1" w:styleId="113">
    <w:name w:val="表格-小四"/>
    <w:basedOn w:val="1"/>
    <w:uiPriority w:val="0"/>
    <w:pPr>
      <w:snapToGrid/>
      <w:spacing w:before="100" w:beforeAutospacing="1" w:after="100" w:afterAutospacing="1" w:line="312" w:lineRule="auto"/>
      <w:ind w:firstLine="0" w:firstLineChars="0"/>
      <w:jc w:val="center"/>
      <w:textAlignment w:val="baseline"/>
    </w:pPr>
    <w:rPr>
      <w:rFonts w:ascii="宋体"/>
      <w:kern w:val="0"/>
      <w:szCs w:val="24"/>
    </w:rPr>
  </w:style>
  <w:style w:type="paragraph" w:customStyle="1" w:styleId="114">
    <w:name w:val="表内文字"/>
    <w:basedOn w:val="1"/>
    <w:uiPriority w:val="0"/>
    <w:pPr>
      <w:spacing w:line="240" w:lineRule="auto"/>
      <w:ind w:firstLine="0" w:firstLineChars="0"/>
      <w:jc w:val="center"/>
    </w:pPr>
    <w:rPr>
      <w:kern w:val="0"/>
      <w:szCs w:val="24"/>
    </w:rPr>
  </w:style>
  <w:style w:type="paragraph" w:customStyle="1" w:styleId="115">
    <w:name w:val="首行缩进"/>
    <w:basedOn w:val="1"/>
    <w:uiPriority w:val="0"/>
    <w:pPr>
      <w:adjustRightInd/>
      <w:spacing w:before="100" w:beforeAutospacing="1" w:after="100" w:afterAutospacing="1" w:line="312" w:lineRule="auto"/>
      <w:ind w:firstLine="425" w:firstLineChars="0"/>
    </w:pPr>
    <w:rPr>
      <w:rFonts w:ascii="宋体"/>
      <w:szCs w:val="20"/>
    </w:rPr>
  </w:style>
  <w:style w:type="paragraph" w:customStyle="1" w:styleId="116">
    <w:name w:val="样式 正文首行缩进 + 首行缩进:  1 字符2"/>
    <w:basedOn w:val="34"/>
    <w:uiPriority w:val="0"/>
    <w:pPr>
      <w:tabs>
        <w:tab w:val="clear" w:pos="-120"/>
      </w:tabs>
      <w:snapToGrid/>
      <w:spacing w:after="120" w:line="500" w:lineRule="exact"/>
      <w:ind w:firstLine="200"/>
    </w:pPr>
    <w:rPr>
      <w:color w:val="auto"/>
      <w:kern w:val="2"/>
    </w:rPr>
  </w:style>
  <w:style w:type="paragraph" w:customStyle="1" w:styleId="117">
    <w:name w:val="T正文"/>
    <w:uiPriority w:val="0"/>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18">
    <w:name w:val="Defaul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19">
    <w:name w:val="表格内文字"/>
    <w:basedOn w:val="1"/>
    <w:uiPriority w:val="0"/>
    <w:pPr>
      <w:autoSpaceDE w:val="0"/>
      <w:autoSpaceDN w:val="0"/>
      <w:snapToGrid/>
      <w:spacing w:line="240" w:lineRule="auto"/>
      <w:ind w:firstLine="0" w:firstLineChars="0"/>
      <w:jc w:val="center"/>
    </w:pPr>
    <w:rPr>
      <w:kern w:val="0"/>
      <w:szCs w:val="24"/>
    </w:rPr>
  </w:style>
  <w:style w:type="paragraph" w:customStyle="1" w:styleId="120">
    <w:name w:val="图表题"/>
    <w:basedOn w:val="70"/>
    <w:next w:val="70"/>
    <w:uiPriority w:val="0"/>
    <w:pPr>
      <w:ind w:firstLine="0"/>
      <w:jc w:val="center"/>
    </w:pPr>
    <w:rPr>
      <w:rFonts w:ascii="黑体" w:eastAsia="黑体" w:cs="宋体"/>
      <w:b/>
      <w:bCs/>
      <w:kern w:val="2"/>
    </w:rPr>
  </w:style>
  <w:style w:type="paragraph" w:customStyle="1" w:styleId="121">
    <w:name w:val="xl23"/>
    <w:basedOn w:val="1"/>
    <w:uiPriority w:val="0"/>
    <w:pPr>
      <w:widowControl/>
      <w:adjustRightInd/>
      <w:snapToGrid/>
      <w:spacing w:before="100" w:beforeAutospacing="1" w:after="100" w:afterAutospacing="1" w:line="240" w:lineRule="auto"/>
      <w:ind w:firstLine="0" w:firstLineChars="0"/>
      <w:jc w:val="center"/>
    </w:pPr>
    <w:rPr>
      <w:rFonts w:eastAsia="Arial Unicode MS"/>
      <w:kern w:val="0"/>
      <w:szCs w:val="24"/>
    </w:rPr>
  </w:style>
  <w:style w:type="paragraph" w:customStyle="1" w:styleId="122">
    <w:name w:val="Char Char Char Char Char Char Char"/>
    <w:basedOn w:val="1"/>
    <w:uiPriority w:val="0"/>
    <w:pPr>
      <w:adjustRightInd/>
      <w:snapToGrid/>
      <w:spacing w:line="240" w:lineRule="auto"/>
      <w:ind w:firstLine="0" w:firstLineChars="0"/>
    </w:pPr>
    <w:rPr>
      <w:sz w:val="21"/>
      <w:szCs w:val="24"/>
    </w:rPr>
  </w:style>
  <w:style w:type="paragraph" w:customStyle="1" w:styleId="123">
    <w:name w:val="- 页码 -"/>
    <w:uiPriority w:val="0"/>
    <w:pPr>
      <w:widowControl w:val="0"/>
      <w:jc w:val="both"/>
    </w:pPr>
    <w:rPr>
      <w:rFonts w:ascii="Times New Roman" w:hAnsi="Times New Roman" w:eastAsia="宋体" w:cs="Times New Roman"/>
      <w:kern w:val="2"/>
      <w:sz w:val="21"/>
      <w:lang w:val="en-US" w:eastAsia="zh-CN" w:bidi="ar-SA"/>
    </w:rPr>
  </w:style>
  <w:style w:type="paragraph" w:customStyle="1" w:styleId="124">
    <w:name w:val="插图格式"/>
    <w:basedOn w:val="1"/>
    <w:uiPriority w:val="0"/>
    <w:pPr>
      <w:tabs>
        <w:tab w:val="left" w:pos="2660"/>
      </w:tabs>
      <w:snapToGrid/>
      <w:spacing w:line="360" w:lineRule="atLeast"/>
      <w:ind w:left="3080" w:hanging="840" w:firstLineChars="0"/>
      <w:jc w:val="center"/>
      <w:textAlignment w:val="baseline"/>
    </w:pPr>
    <w:rPr>
      <w:rFonts w:ascii="宋体"/>
      <w:kern w:val="0"/>
      <w:szCs w:val="20"/>
    </w:rPr>
  </w:style>
  <w:style w:type="paragraph" w:customStyle="1" w:styleId="125">
    <w:name w:val="节标"/>
    <w:basedOn w:val="1"/>
    <w:uiPriority w:val="0"/>
    <w:pPr>
      <w:widowControl/>
      <w:autoSpaceDE w:val="0"/>
      <w:autoSpaceDN w:val="0"/>
      <w:snapToGrid/>
      <w:spacing w:line="480" w:lineRule="exact"/>
      <w:ind w:firstLine="567" w:firstLineChars="0"/>
      <w:jc w:val="center"/>
      <w:textAlignment w:val="bottom"/>
    </w:pPr>
    <w:rPr>
      <w:b/>
      <w:kern w:val="0"/>
      <w:sz w:val="30"/>
      <w:szCs w:val="20"/>
    </w:rPr>
  </w:style>
  <w:style w:type="paragraph" w:customStyle="1" w:styleId="126">
    <w:name w:val="首页脚注"/>
    <w:basedOn w:val="24"/>
    <w:uiPriority w:val="0"/>
    <w:pPr>
      <w:keepLines/>
      <w:widowControl/>
      <w:tabs>
        <w:tab w:val="center" w:pos="4320"/>
        <w:tab w:val="clear" w:pos="4153"/>
        <w:tab w:val="clear" w:pos="8306"/>
      </w:tabs>
      <w:overflowPunct w:val="0"/>
      <w:autoSpaceDE w:val="0"/>
      <w:autoSpaceDN w:val="0"/>
      <w:snapToGrid/>
      <w:spacing w:line="360" w:lineRule="auto"/>
      <w:ind w:firstLine="0" w:firstLineChars="0"/>
      <w:jc w:val="center"/>
      <w:textAlignment w:val="baseline"/>
    </w:pPr>
    <w:rPr>
      <w:rFonts w:ascii="宋体" w:hAnsi="宋体" w:cs="宋体"/>
      <w:kern w:val="0"/>
      <w:sz w:val="28"/>
      <w:szCs w:val="24"/>
    </w:rPr>
  </w:style>
  <w:style w:type="paragraph" w:customStyle="1" w:styleId="127">
    <w:name w:val="样式 正文首行缩进 + 首行缩进:  1 字符"/>
    <w:basedOn w:val="34"/>
    <w:qFormat/>
    <w:uiPriority w:val="0"/>
    <w:pPr>
      <w:tabs>
        <w:tab w:val="clear" w:pos="-120"/>
      </w:tabs>
      <w:snapToGrid/>
      <w:spacing w:after="120" w:line="500" w:lineRule="exact"/>
      <w:ind w:firstLine="200"/>
    </w:pPr>
    <w:rPr>
      <w:color w:val="auto"/>
      <w:kern w:val="2"/>
    </w:rPr>
  </w:style>
  <w:style w:type="paragraph" w:customStyle="1" w:styleId="128">
    <w:name w:val="表格1"/>
    <w:basedOn w:val="1"/>
    <w:uiPriority w:val="0"/>
    <w:pPr>
      <w:snapToGrid/>
      <w:spacing w:before="100" w:beforeAutospacing="1" w:after="100" w:afterAutospacing="1" w:line="312" w:lineRule="auto"/>
      <w:ind w:firstLine="0" w:firstLineChars="0"/>
      <w:jc w:val="center"/>
      <w:textAlignment w:val="baseline"/>
    </w:pPr>
    <w:rPr>
      <w:rFonts w:ascii="宋体"/>
      <w:kern w:val="0"/>
      <w:szCs w:val="20"/>
    </w:rPr>
  </w:style>
  <w:style w:type="paragraph" w:customStyle="1" w:styleId="129">
    <w:name w:val="表内小5"/>
    <w:basedOn w:val="1"/>
    <w:uiPriority w:val="0"/>
    <w:pPr>
      <w:spacing w:line="300" w:lineRule="auto"/>
      <w:ind w:firstLine="0" w:firstLineChars="0"/>
      <w:jc w:val="center"/>
    </w:pPr>
    <w:rPr>
      <w:rFonts w:ascii="宋体" w:hAnsi="宋体"/>
      <w:b/>
      <w:szCs w:val="21"/>
    </w:rPr>
  </w:style>
  <w:style w:type="paragraph" w:customStyle="1" w:styleId="130">
    <w:name w:val="表内5中"/>
    <w:basedOn w:val="1"/>
    <w:uiPriority w:val="0"/>
    <w:pPr>
      <w:spacing w:line="240" w:lineRule="auto"/>
      <w:ind w:firstLine="0" w:firstLineChars="0"/>
      <w:jc w:val="center"/>
    </w:pPr>
    <w:rPr>
      <w:rFonts w:ascii="宋体" w:hAnsi="宋体" w:cs="Arial"/>
      <w:snapToGrid w:val="0"/>
      <w:color w:val="000000"/>
      <w:sz w:val="21"/>
      <w:szCs w:val="21"/>
    </w:rPr>
  </w:style>
  <w:style w:type="paragraph" w:customStyle="1" w:styleId="131">
    <w:name w:val="xl34"/>
    <w:basedOn w:val="1"/>
    <w:uiPriority w:val="0"/>
    <w:pPr>
      <w:widowControl/>
      <w:pBdr>
        <w:left w:val="single" w:color="auto" w:sz="4" w:space="0"/>
        <w:bottom w:val="single" w:color="auto" w:sz="4" w:space="0"/>
        <w:right w:val="single" w:color="auto" w:sz="4" w:space="0"/>
      </w:pBdr>
      <w:adjustRightInd/>
      <w:snapToGrid/>
      <w:spacing w:line="240" w:lineRule="auto"/>
      <w:ind w:firstLine="0" w:firstLineChars="0"/>
      <w:jc w:val="center"/>
    </w:pPr>
    <w:rPr>
      <w:rFonts w:ascii="宋体" w:hAnsi="宋体"/>
      <w:kern w:val="0"/>
      <w:szCs w:val="20"/>
    </w:rPr>
  </w:style>
  <w:style w:type="paragraph" w:customStyle="1" w:styleId="132">
    <w:name w:val="表格（hwl) + + 11 磅"/>
    <w:basedOn w:val="1"/>
    <w:uiPriority w:val="0"/>
    <w:pPr>
      <w:widowControl/>
      <w:spacing w:line="240" w:lineRule="auto"/>
      <w:ind w:left="-35" w:leftChars="-35" w:firstLine="0" w:firstLineChars="0"/>
      <w:jc w:val="center"/>
      <w:textAlignment w:val="baseline"/>
    </w:pPr>
    <w:rPr>
      <w:sz w:val="22"/>
      <w:szCs w:val="24"/>
    </w:rPr>
  </w:style>
  <w:style w:type="paragraph" w:customStyle="1" w:styleId="133">
    <w:name w:val="表格文字"/>
    <w:basedOn w:val="1"/>
    <w:uiPriority w:val="0"/>
    <w:pPr>
      <w:adjustRightInd/>
      <w:snapToGrid/>
      <w:spacing w:before="100" w:line="240" w:lineRule="auto"/>
      <w:ind w:firstLine="0" w:firstLineChars="0"/>
      <w:jc w:val="center"/>
    </w:pPr>
    <w:rPr>
      <w:color w:val="000000"/>
      <w:szCs w:val="24"/>
    </w:rPr>
  </w:style>
  <w:style w:type="paragraph" w:customStyle="1" w:styleId="134">
    <w:name w:val="样式 样式 表格文字 + 居中 首行缩进:  2 字符 行距: 固定值 15 磅 + 段前: 自动 段后: 自动"/>
    <w:basedOn w:val="1"/>
    <w:uiPriority w:val="0"/>
    <w:pPr>
      <w:widowControl/>
      <w:snapToGrid/>
      <w:spacing w:line="360" w:lineRule="exact"/>
      <w:ind w:firstLine="0" w:firstLineChars="0"/>
      <w:jc w:val="center"/>
      <w:textAlignment w:val="baseline"/>
    </w:pPr>
    <w:rPr>
      <w:rFonts w:cs="宋体"/>
      <w:kern w:val="0"/>
      <w:sz w:val="21"/>
      <w:szCs w:val="20"/>
    </w:rPr>
  </w:style>
  <w:style w:type="paragraph" w:customStyle="1" w:styleId="135">
    <w:name w:val="TOC Heading"/>
    <w:basedOn w:val="2"/>
    <w:next w:val="1"/>
    <w:uiPriority w:val="39"/>
    <w:pPr>
      <w:keepNext/>
      <w:keepLines/>
      <w:widowControl/>
      <w:adjustRightInd/>
      <w:snapToGrid/>
      <w:spacing w:before="480" w:beforeLines="0" w:after="0" w:afterLines="0" w:line="276" w:lineRule="auto"/>
      <w:jc w:val="left"/>
      <w:outlineLvl w:val="9"/>
    </w:pPr>
    <w:rPr>
      <w:rFonts w:ascii="Cambria" w:hAnsi="Cambria"/>
      <w:color w:val="365F91"/>
      <w:kern w:val="0"/>
      <w:sz w:val="28"/>
      <w:szCs w:val="28"/>
    </w:rPr>
  </w:style>
  <w:style w:type="paragraph" w:customStyle="1" w:styleId="136">
    <w:name w:val="正文格式42"/>
    <w:basedOn w:val="1"/>
    <w:uiPriority w:val="0"/>
    <w:pPr>
      <w:adjustRightInd/>
      <w:snapToGrid/>
      <w:ind w:firstLine="482" w:firstLineChars="0"/>
    </w:pPr>
    <w:rPr>
      <w:rFonts w:ascii="宋体" w:hAnsi="宋体"/>
      <w:szCs w:val="24"/>
    </w:rPr>
  </w:style>
  <w:style w:type="paragraph" w:customStyle="1" w:styleId="137">
    <w:name w:val="Table-"/>
    <w:uiPriority w:val="0"/>
    <w:pPr>
      <w:tabs>
        <w:tab w:val="left" w:pos="2200"/>
      </w:tabs>
      <w:spacing w:line="360" w:lineRule="auto"/>
      <w:ind w:left="76" w:leftChars="36" w:firstLine="36"/>
    </w:pPr>
    <w:rPr>
      <w:rFonts w:ascii="Times New Roman" w:hAnsi="Times New Roman" w:eastAsia="宋体" w:cs="Arial"/>
      <w:color w:val="000000"/>
      <w:sz w:val="18"/>
      <w:szCs w:val="18"/>
      <w:lang w:val="en-US" w:eastAsia="zh-CN" w:bidi="ar-SA"/>
    </w:rPr>
  </w:style>
  <w:style w:type="paragraph" w:customStyle="1" w:styleId="138">
    <w:name w:val="样式2"/>
    <w:basedOn w:val="1"/>
    <w:uiPriority w:val="0"/>
    <w:pPr>
      <w:snapToGrid/>
      <w:spacing w:line="0" w:lineRule="atLeast"/>
      <w:ind w:firstLine="0" w:firstLineChars="0"/>
      <w:jc w:val="center"/>
      <w:textAlignment w:val="baseline"/>
    </w:pPr>
    <w:rPr>
      <w:sz w:val="28"/>
      <w:szCs w:val="20"/>
    </w:rPr>
  </w:style>
  <w:style w:type="paragraph" w:customStyle="1" w:styleId="139">
    <w:name w:val="样式 中文报告书样式 + 首行缩进:  2 字符2"/>
    <w:basedOn w:val="1"/>
    <w:uiPriority w:val="0"/>
    <w:pPr>
      <w:ind w:firstLine="480"/>
      <w:textAlignment w:val="baseline"/>
    </w:pPr>
    <w:rPr>
      <w:rFonts w:ascii="宋体" w:hAnsi="宋体" w:cs="宋体"/>
      <w:kern w:val="24"/>
      <w:szCs w:val="20"/>
    </w:rPr>
  </w:style>
  <w:style w:type="paragraph" w:customStyle="1" w:styleId="140">
    <w:name w:val="样式 表内小5 + 左侧:  0 厘米 悬挂缩进: 0.98 字符"/>
    <w:basedOn w:val="1"/>
    <w:uiPriority w:val="0"/>
    <w:pPr>
      <w:spacing w:line="300" w:lineRule="auto"/>
      <w:ind w:firstLine="0" w:firstLineChars="0"/>
      <w:jc w:val="left"/>
    </w:pPr>
    <w:rPr>
      <w:rFonts w:ascii="宋体" w:hAnsi="宋体" w:cs="宋体"/>
      <w:sz w:val="18"/>
      <w:szCs w:val="20"/>
    </w:rPr>
  </w:style>
  <w:style w:type="paragraph" w:customStyle="1" w:styleId="141">
    <w:name w:val="表图标题格式"/>
    <w:basedOn w:val="1"/>
    <w:next w:val="1"/>
    <w:link w:val="142"/>
    <w:uiPriority w:val="0"/>
    <w:pPr>
      <w:spacing w:line="240" w:lineRule="auto"/>
      <w:ind w:firstLine="0" w:firstLineChars="0"/>
      <w:jc w:val="center"/>
    </w:pPr>
    <w:rPr>
      <w:b/>
      <w:sz w:val="21"/>
      <w:lang w:val="zh-CN" w:eastAsia="zh-CN"/>
    </w:rPr>
  </w:style>
  <w:style w:type="character" w:customStyle="1" w:styleId="142">
    <w:name w:val="表图标题格式 Char"/>
    <w:link w:val="141"/>
    <w:qFormat/>
    <w:uiPriority w:val="0"/>
    <w:rPr>
      <w:rFonts w:ascii="Times New Roman" w:hAnsi="Times New Roman"/>
      <w:b/>
      <w:kern w:val="2"/>
      <w:sz w:val="21"/>
      <w:szCs w:val="22"/>
    </w:rPr>
  </w:style>
  <w:style w:type="paragraph" w:customStyle="1" w:styleId="143">
    <w:name w:val="表格正文"/>
    <w:basedOn w:val="53"/>
    <w:next w:val="1"/>
    <w:link w:val="144"/>
    <w:uiPriority w:val="0"/>
    <w:pPr>
      <w:jc w:val="center"/>
    </w:pPr>
    <w:rPr>
      <w:sz w:val="21"/>
      <w:lang w:val="zh-CN" w:eastAsia="zh-CN"/>
    </w:rPr>
  </w:style>
  <w:style w:type="character" w:customStyle="1" w:styleId="144">
    <w:name w:val="表格正文 Char"/>
    <w:link w:val="143"/>
    <w:uiPriority w:val="0"/>
    <w:rPr>
      <w:rFonts w:ascii="Times New Roman" w:hAnsi="Times New Roman"/>
      <w:kern w:val="2"/>
      <w:sz w:val="21"/>
      <w:szCs w:val="22"/>
    </w:rPr>
  </w:style>
  <w:style w:type="character" w:customStyle="1" w:styleId="145">
    <w:name w:val="页脚 字符"/>
    <w:uiPriority w:val="99"/>
  </w:style>
  <w:style w:type="paragraph" w:styleId="146">
    <w:name w:val="List Paragraph"/>
    <w:basedOn w:val="1"/>
    <w:uiPriority w:val="34"/>
    <w:pPr>
      <w:adjustRightInd/>
      <w:snapToGrid/>
      <w:ind w:firstLine="420"/>
    </w:pPr>
    <w:rPr>
      <w:szCs w:val="24"/>
    </w:rPr>
  </w:style>
  <w:style w:type="character" w:customStyle="1" w:styleId="147">
    <w:name w:val="未处理的提及1"/>
    <w:semiHidden/>
    <w:unhideWhenUsed/>
    <w:uiPriority w:val="99"/>
    <w:rPr>
      <w:color w:val="808080"/>
      <w:shd w:val="clear" w:color="auto" w:fill="E6E6E6"/>
    </w:rPr>
  </w:style>
  <w:style w:type="character" w:customStyle="1" w:styleId="148">
    <w:name w:val="日期 字符"/>
    <w:semiHidden/>
    <w:uiPriority w:val="99"/>
    <w:rPr>
      <w:rFonts w:ascii="Times New Roman" w:hAnsi="Times New Roman"/>
      <w:kern w:val="2"/>
      <w:sz w:val="24"/>
      <w:szCs w:val="22"/>
    </w:rPr>
  </w:style>
  <w:style w:type="character" w:customStyle="1" w:styleId="149">
    <w:name w:val="日期 字符1"/>
    <w:link w:val="21"/>
    <w:semiHidden/>
    <w:uiPriority w:val="99"/>
    <w:rPr>
      <w:rFonts w:ascii="Times New Roman" w:hAnsi="Times New Roman"/>
      <w:kern w:val="2"/>
      <w:sz w:val="24"/>
      <w:szCs w:val="24"/>
    </w:rPr>
  </w:style>
  <w:style w:type="character" w:customStyle="1" w:styleId="150">
    <w:name w:val="con"/>
    <w:uiPriority w:val="0"/>
  </w:style>
  <w:style w:type="paragraph" w:customStyle="1" w:styleId="151">
    <w:name w:val="reader-word-layer"/>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character" w:customStyle="1" w:styleId="152">
    <w:name w:val="批注主题 字符"/>
    <w:semiHidden/>
    <w:uiPriority w:val="99"/>
    <w:rPr>
      <w:rFonts w:ascii="Times New Roman" w:hAnsi="Times New Roman"/>
      <w:b/>
      <w:bCs/>
      <w:kern w:val="2"/>
      <w:sz w:val="24"/>
      <w:szCs w:val="22"/>
    </w:rPr>
  </w:style>
  <w:style w:type="character" w:customStyle="1" w:styleId="153">
    <w:name w:val="批注主题 字符1"/>
    <w:link w:val="33"/>
    <w:semiHidden/>
    <w:uiPriority w:val="99"/>
    <w:rPr>
      <w:rFonts w:ascii="Times New Roman" w:hAnsi="Times New Roman"/>
      <w:b/>
      <w:bCs/>
      <w:kern w:val="2"/>
      <w:sz w:val="24"/>
      <w:szCs w:val="24"/>
    </w:rPr>
  </w:style>
  <w:style w:type="character" w:customStyle="1" w:styleId="154">
    <w:name w:val="批注框文本 字符"/>
    <w:semiHidden/>
    <w:uiPriority w:val="99"/>
    <w:rPr>
      <w:rFonts w:ascii="Times New Roman" w:hAnsi="Times New Roman"/>
      <w:kern w:val="2"/>
      <w:sz w:val="18"/>
      <w:szCs w:val="18"/>
    </w:rPr>
  </w:style>
  <w:style w:type="character" w:customStyle="1" w:styleId="155">
    <w:name w:val="批注框文本 字符1"/>
    <w:link w:val="23"/>
    <w:semiHidden/>
    <w:uiPriority w:val="99"/>
    <w:rPr>
      <w:rFonts w:ascii="Times New Roman" w:hAnsi="Times New Roman"/>
      <w:kern w:val="2"/>
      <w:sz w:val="18"/>
      <w:szCs w:val="18"/>
    </w:rPr>
  </w:style>
  <w:style w:type="character" w:customStyle="1" w:styleId="156">
    <w:name w:val="@他1"/>
    <w:semiHidden/>
    <w:unhideWhenUsed/>
    <w:uiPriority w:val="99"/>
    <w:rPr>
      <w:color w:val="2B579A"/>
      <w:shd w:val="clear" w:color="auto" w:fill="E6E6E6"/>
    </w:rPr>
  </w:style>
  <w:style w:type="paragraph" w:customStyle="1" w:styleId="157">
    <w:name w:val="Table Paragraph"/>
    <w:basedOn w:val="1"/>
    <w:uiPriority w:val="1"/>
    <w:pPr>
      <w:autoSpaceDE w:val="0"/>
      <w:autoSpaceDN w:val="0"/>
      <w:adjustRightInd/>
      <w:snapToGrid/>
      <w:spacing w:line="240" w:lineRule="auto"/>
      <w:ind w:firstLine="0" w:firstLineChars="0"/>
      <w:jc w:val="center"/>
    </w:pPr>
    <w:rPr>
      <w:rFonts w:ascii="宋体" w:hAnsi="宋体" w:cs="宋体"/>
      <w:kern w:val="0"/>
      <w:sz w:val="22"/>
      <w:lang w:eastAsia="en-US"/>
    </w:rPr>
  </w:style>
  <w:style w:type="paragraph" w:customStyle="1" w:styleId="158">
    <w:name w:val="yjz表格标题格式"/>
    <w:basedOn w:val="1"/>
    <w:next w:val="1"/>
    <w:link w:val="159"/>
    <w:uiPriority w:val="0"/>
    <w:pPr>
      <w:spacing w:line="240" w:lineRule="auto"/>
      <w:ind w:firstLine="0" w:firstLineChars="0"/>
      <w:jc w:val="center"/>
    </w:pPr>
    <w:rPr>
      <w:b/>
      <w:sz w:val="21"/>
    </w:rPr>
  </w:style>
  <w:style w:type="character" w:customStyle="1" w:styleId="159">
    <w:name w:val="yjz表格标题格式 Char"/>
    <w:link w:val="158"/>
    <w:uiPriority w:val="0"/>
    <w:rPr>
      <w:rFonts w:ascii="Times New Roman" w:hAnsi="Times New Roman"/>
      <w:b/>
      <w:kern w:val="2"/>
      <w:sz w:val="21"/>
      <w:szCs w:val="22"/>
    </w:rPr>
  </w:style>
  <w:style w:type="paragraph" w:customStyle="1" w:styleId="160">
    <w:name w:val="yjz封面标题"/>
    <w:basedOn w:val="1"/>
    <w:next w:val="1"/>
    <w:link w:val="161"/>
    <w:uiPriority w:val="0"/>
    <w:pPr>
      <w:spacing w:before="100" w:beforeLines="100" w:after="100" w:afterLines="100" w:line="240" w:lineRule="auto"/>
      <w:ind w:firstLine="0" w:firstLineChars="0"/>
      <w:jc w:val="center"/>
    </w:pPr>
    <w:rPr>
      <w:b/>
      <w:sz w:val="52"/>
      <w:lang w:val="zh-CN" w:eastAsia="zh-CN"/>
    </w:rPr>
  </w:style>
  <w:style w:type="character" w:customStyle="1" w:styleId="161">
    <w:name w:val="yjz封面标题 Char"/>
    <w:link w:val="160"/>
    <w:uiPriority w:val="0"/>
    <w:rPr>
      <w:rFonts w:ascii="Times New Roman" w:hAnsi="Times New Roman"/>
      <w:b/>
      <w:kern w:val="2"/>
      <w:sz w:val="52"/>
      <w:szCs w:val="22"/>
      <w:lang w:val="zh-CN" w:eastAsia="zh-CN"/>
    </w:rPr>
  </w:style>
  <w:style w:type="character" w:styleId="162">
    <w:name w:val="Placeholder Text"/>
    <w:basedOn w:val="38"/>
    <w:semiHidden/>
    <w:uiPriority w:val="99"/>
    <w:rPr>
      <w:color w:val="808080"/>
    </w:rPr>
  </w:style>
  <w:style w:type="paragraph" w:customStyle="1" w:styleId="163">
    <w:name w:val="msonormal"/>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64">
    <w:name w:val="font1"/>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165">
    <w:name w:val="font5"/>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66">
    <w:name w:val="font6"/>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67">
    <w:name w:val="font7"/>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68">
    <w:name w:val="font8"/>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69">
    <w:name w:val="font9"/>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70">
    <w:name w:val="font10"/>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71">
    <w:name w:val="font11"/>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72">
    <w:name w:val="font12"/>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73">
    <w:name w:val="font13"/>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74">
    <w:name w:val="font14"/>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75">
    <w:name w:val="font15"/>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76">
    <w:name w:val="font16"/>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77">
    <w:name w:val="font17"/>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78">
    <w:name w:val="font18"/>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79">
    <w:name w:val="font19"/>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80">
    <w:name w:val="font20"/>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81">
    <w:name w:val="font21"/>
    <w:basedOn w:val="1"/>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82">
    <w:name w:val="xl69"/>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83">
    <w:name w:val="xl70"/>
    <w:basedOn w:val="1"/>
    <w:uiPriority w:val="0"/>
    <w:pPr>
      <w:widowControl/>
      <w:adjustRightInd/>
      <w:snapToGrid/>
      <w:spacing w:before="100" w:beforeAutospacing="1" w:after="100" w:afterAutospacing="1" w:line="240" w:lineRule="auto"/>
      <w:ind w:firstLine="0" w:firstLineChars="0"/>
      <w:jc w:val="center"/>
    </w:pPr>
    <w:rPr>
      <w:rFonts w:ascii="宋体" w:hAnsi="宋体" w:cs="宋体"/>
      <w:kern w:val="0"/>
      <w:szCs w:val="24"/>
    </w:rPr>
  </w:style>
  <w:style w:type="paragraph" w:customStyle="1" w:styleId="184">
    <w:name w:val="xl71"/>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85">
    <w:name w:val="xl72"/>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86">
    <w:name w:val="xl73"/>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87">
    <w:name w:val="xl74"/>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188">
    <w:name w:val="xl75"/>
    <w:basedOn w:val="1"/>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left"/>
      <w:textAlignment w:val="bottom"/>
    </w:pPr>
    <w:rPr>
      <w:rFonts w:ascii="宋体" w:hAnsi="宋体" w:cs="宋体"/>
      <w:kern w:val="0"/>
      <w:sz w:val="18"/>
      <w:szCs w:val="18"/>
    </w:rPr>
  </w:style>
  <w:style w:type="paragraph" w:customStyle="1" w:styleId="189">
    <w:name w:val="xl76"/>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left"/>
      <w:textAlignment w:val="bottom"/>
    </w:pPr>
    <w:rPr>
      <w:rFonts w:ascii="宋体" w:hAnsi="宋体" w:cs="宋体"/>
      <w:kern w:val="0"/>
      <w:sz w:val="18"/>
      <w:szCs w:val="18"/>
    </w:rPr>
  </w:style>
  <w:style w:type="paragraph" w:customStyle="1" w:styleId="190">
    <w:name w:val="xl77"/>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91">
    <w:name w:val="xl78"/>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92">
    <w:name w:val="xl79"/>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93">
    <w:name w:val="xl80"/>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194">
    <w:name w:val="xl81"/>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195">
    <w:name w:val="xl82"/>
    <w:basedOn w:val="1"/>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9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97">
    <w:name w:val="xl84"/>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98">
    <w:name w:val="xl85"/>
    <w:basedOn w:val="1"/>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textAlignment w:val="bottom"/>
    </w:pPr>
    <w:rPr>
      <w:rFonts w:ascii="宋体" w:hAnsi="宋体" w:cs="宋体"/>
      <w:kern w:val="0"/>
      <w:sz w:val="18"/>
      <w:szCs w:val="18"/>
    </w:rPr>
  </w:style>
  <w:style w:type="paragraph" w:customStyle="1" w:styleId="199">
    <w:name w:val="xl86"/>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textAlignment w:val="bottom"/>
    </w:pPr>
    <w:rPr>
      <w:rFonts w:ascii="宋体" w:hAnsi="宋体" w:cs="宋体"/>
      <w:kern w:val="0"/>
      <w:sz w:val="18"/>
      <w:szCs w:val="18"/>
    </w:rPr>
  </w:style>
  <w:style w:type="paragraph" w:customStyle="1" w:styleId="200">
    <w:name w:val="xl87"/>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01">
    <w:name w:val="xl88"/>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02">
    <w:name w:val="xl89"/>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textAlignment w:val="bottom"/>
    </w:pPr>
    <w:rPr>
      <w:rFonts w:ascii="宋体" w:hAnsi="宋体" w:cs="宋体"/>
      <w:kern w:val="0"/>
      <w:sz w:val="18"/>
      <w:szCs w:val="18"/>
    </w:rPr>
  </w:style>
  <w:style w:type="paragraph" w:customStyle="1" w:styleId="203">
    <w:name w:val="xl90"/>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04">
    <w:name w:val="xl91"/>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05">
    <w:name w:val="xl92"/>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206">
    <w:name w:val="xl93"/>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07">
    <w:name w:val="xl94"/>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08">
    <w:name w:val="xl95"/>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09">
    <w:name w:val="xl96"/>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10">
    <w:name w:val="xl97"/>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11">
    <w:name w:val="xl98"/>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12">
    <w:name w:val="xl99"/>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13">
    <w:name w:val="xl100"/>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214">
    <w:name w:val="xl101"/>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215">
    <w:name w:val="xl102"/>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216">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217">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18">
    <w:name w:val="xl105"/>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19">
    <w:name w:val="xl106"/>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20">
    <w:name w:val="xl107"/>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宋体" w:hAnsi="宋体" w:cs="宋体"/>
      <w:kern w:val="0"/>
      <w:sz w:val="18"/>
      <w:szCs w:val="18"/>
    </w:rPr>
  </w:style>
  <w:style w:type="paragraph" w:customStyle="1" w:styleId="221">
    <w:name w:val="xl108"/>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宋体" w:hAnsi="宋体" w:cs="宋体"/>
      <w:kern w:val="0"/>
      <w:sz w:val="18"/>
      <w:szCs w:val="18"/>
    </w:rPr>
  </w:style>
  <w:style w:type="paragraph" w:customStyle="1" w:styleId="222">
    <w:name w:val="xl109"/>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bottom"/>
    </w:pPr>
    <w:rPr>
      <w:rFonts w:ascii="宋体" w:hAnsi="宋体" w:cs="宋体"/>
      <w:kern w:val="0"/>
      <w:sz w:val="18"/>
      <w:szCs w:val="18"/>
    </w:rPr>
  </w:style>
  <w:style w:type="paragraph" w:customStyle="1" w:styleId="223">
    <w:name w:val="xl110"/>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宋体" w:hAnsi="宋体" w:cs="宋体"/>
      <w:kern w:val="0"/>
      <w:sz w:val="18"/>
      <w:szCs w:val="18"/>
    </w:rPr>
  </w:style>
  <w:style w:type="paragraph" w:customStyle="1" w:styleId="224">
    <w:name w:val="xl111"/>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w:hAnsi="Arial" w:cs="Arial"/>
      <w:kern w:val="0"/>
      <w:sz w:val="18"/>
      <w:szCs w:val="18"/>
    </w:rPr>
  </w:style>
  <w:style w:type="paragraph" w:customStyle="1" w:styleId="225">
    <w:name w:val="xl112"/>
    <w:basedOn w:val="1"/>
    <w:uiPriority w:val="0"/>
    <w:pPr>
      <w:widowControl/>
      <w:pBdr>
        <w:top w:val="single" w:color="auto" w:sz="4" w:space="0"/>
        <w:left w:val="single" w:color="auto" w:sz="4" w:space="0"/>
        <w:bottom w:val="single" w:color="auto" w:sz="4" w:space="0"/>
        <w:right w:val="single" w:color="auto" w:sz="4" w:space="0"/>
      </w:pBdr>
      <w:shd w:val="clear" w:color="000000" w:fill="F2F2F2"/>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26">
    <w:name w:val="xl113"/>
    <w:basedOn w:val="1"/>
    <w:uiPriority w:val="0"/>
    <w:pPr>
      <w:widowControl/>
      <w:pBdr>
        <w:top w:val="single" w:color="auto" w:sz="4" w:space="0"/>
        <w:left w:val="single" w:color="auto" w:sz="4" w:space="0"/>
        <w:bottom w:val="single" w:color="auto" w:sz="4" w:space="0"/>
        <w:right w:val="single" w:color="auto" w:sz="4" w:space="0"/>
      </w:pBdr>
      <w:shd w:val="clear" w:color="000000" w:fill="F2F2F2"/>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27">
    <w:name w:val="xl114"/>
    <w:basedOn w:val="1"/>
    <w:uiPriority w:val="0"/>
    <w:pPr>
      <w:widowControl/>
      <w:pBdr>
        <w:top w:val="single" w:color="auto" w:sz="4" w:space="0"/>
        <w:left w:val="single" w:color="auto" w:sz="4" w:space="0"/>
        <w:bottom w:val="single" w:color="auto" w:sz="4" w:space="0"/>
        <w:right w:val="single" w:color="auto" w:sz="4" w:space="0"/>
      </w:pBdr>
      <w:shd w:val="clear" w:color="000000" w:fill="F2F2F2"/>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28">
    <w:name w:val="xl115"/>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29">
    <w:name w:val="xl116"/>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230">
    <w:name w:val="xl117"/>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231">
    <w:name w:val="xl118"/>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232">
    <w:name w:val="xl119"/>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4"/>
      <w:szCs w:val="14"/>
    </w:rPr>
  </w:style>
  <w:style w:type="paragraph" w:customStyle="1" w:styleId="233">
    <w:name w:val="xl120"/>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left"/>
      <w:textAlignment w:val="bottom"/>
    </w:pPr>
    <w:rPr>
      <w:rFonts w:ascii="宋体" w:hAnsi="宋体" w:cs="宋体"/>
      <w:kern w:val="0"/>
      <w:sz w:val="18"/>
      <w:szCs w:val="18"/>
    </w:rPr>
  </w:style>
  <w:style w:type="paragraph" w:customStyle="1" w:styleId="234">
    <w:name w:val="xl121"/>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FF"/>
      <w:kern w:val="0"/>
      <w:sz w:val="18"/>
      <w:szCs w:val="18"/>
    </w:rPr>
  </w:style>
  <w:style w:type="paragraph" w:customStyle="1" w:styleId="235">
    <w:name w:val="xl122"/>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FF"/>
      <w:kern w:val="0"/>
      <w:sz w:val="18"/>
      <w:szCs w:val="18"/>
    </w:rPr>
  </w:style>
  <w:style w:type="paragraph" w:customStyle="1" w:styleId="236">
    <w:name w:val="xl123"/>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37">
    <w:name w:val="xl124"/>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38">
    <w:name w:val="xl125"/>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textAlignment w:val="bottom"/>
    </w:pPr>
    <w:rPr>
      <w:rFonts w:ascii="宋体" w:hAnsi="宋体" w:cs="宋体"/>
      <w:kern w:val="0"/>
      <w:sz w:val="18"/>
      <w:szCs w:val="18"/>
    </w:rPr>
  </w:style>
  <w:style w:type="paragraph" w:customStyle="1" w:styleId="239">
    <w:name w:val="xl126"/>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40">
    <w:name w:val="xl127"/>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41">
    <w:name w:val="xl128"/>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left"/>
      <w:textAlignment w:val="bottom"/>
    </w:pPr>
    <w:rPr>
      <w:rFonts w:ascii="宋体" w:hAnsi="宋体" w:cs="宋体"/>
      <w:kern w:val="0"/>
      <w:sz w:val="18"/>
      <w:szCs w:val="18"/>
    </w:rPr>
  </w:style>
  <w:style w:type="paragraph" w:customStyle="1" w:styleId="242">
    <w:name w:val="xl129"/>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FF"/>
      <w:kern w:val="0"/>
      <w:sz w:val="18"/>
      <w:szCs w:val="18"/>
    </w:rPr>
  </w:style>
  <w:style w:type="paragraph" w:customStyle="1" w:styleId="243">
    <w:name w:val="xl130"/>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244">
    <w:name w:val="xl131"/>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45">
    <w:name w:val="xl132"/>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46">
    <w:name w:val="xl133"/>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47">
    <w:name w:val="xl134"/>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48">
    <w:name w:val="xl135"/>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textAlignment w:val="bottom"/>
    </w:pPr>
    <w:rPr>
      <w:rFonts w:ascii="宋体" w:hAnsi="宋体" w:cs="宋体"/>
      <w:kern w:val="0"/>
      <w:sz w:val="18"/>
      <w:szCs w:val="18"/>
    </w:rPr>
  </w:style>
  <w:style w:type="paragraph" w:customStyle="1" w:styleId="249">
    <w:name w:val="xl136"/>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50">
    <w:name w:val="xl137"/>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51">
    <w:name w:val="xl138"/>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52">
    <w:name w:val="xl139"/>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left"/>
      <w:textAlignment w:val="bottom"/>
    </w:pPr>
    <w:rPr>
      <w:rFonts w:ascii="宋体" w:hAnsi="宋体" w:cs="宋体"/>
      <w:kern w:val="0"/>
      <w:sz w:val="18"/>
      <w:szCs w:val="18"/>
    </w:rPr>
  </w:style>
  <w:style w:type="paragraph" w:customStyle="1" w:styleId="253">
    <w:name w:val="xl140"/>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textAlignment w:val="bottom"/>
    </w:pPr>
    <w:rPr>
      <w:rFonts w:ascii="宋体" w:hAnsi="宋体" w:cs="宋体"/>
      <w:kern w:val="0"/>
      <w:sz w:val="18"/>
      <w:szCs w:val="18"/>
    </w:rPr>
  </w:style>
  <w:style w:type="paragraph" w:customStyle="1" w:styleId="254">
    <w:name w:val="xl141"/>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255">
    <w:name w:val="xl142"/>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56">
    <w:name w:val="xl143"/>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57">
    <w:name w:val="xl144"/>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left"/>
      <w:textAlignment w:val="bottom"/>
    </w:pPr>
    <w:rPr>
      <w:rFonts w:ascii="宋体" w:hAnsi="宋体" w:cs="宋体"/>
      <w:kern w:val="0"/>
      <w:sz w:val="18"/>
      <w:szCs w:val="18"/>
    </w:rPr>
  </w:style>
  <w:style w:type="paragraph" w:customStyle="1" w:styleId="258">
    <w:name w:val="xl145"/>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59">
    <w:name w:val="xl146"/>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60">
    <w:name w:val="xl147"/>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61">
    <w:name w:val="xl148"/>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62">
    <w:name w:val="xl149"/>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263">
    <w:name w:val="xl150"/>
    <w:basedOn w:val="1"/>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64">
    <w:name w:val="xl151"/>
    <w:basedOn w:val="1"/>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65">
    <w:name w:val="xl152"/>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66">
    <w:name w:val="xl153"/>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textAlignment w:val="bottom"/>
    </w:pPr>
    <w:rPr>
      <w:rFonts w:ascii="宋体" w:hAnsi="宋体" w:cs="宋体"/>
      <w:b/>
      <w:bCs/>
      <w:kern w:val="0"/>
      <w:sz w:val="18"/>
      <w:szCs w:val="18"/>
    </w:rPr>
  </w:style>
  <w:style w:type="paragraph" w:customStyle="1" w:styleId="267">
    <w:name w:val="xl154"/>
    <w:basedOn w:val="1"/>
    <w:uiPriority w:val="0"/>
    <w:pPr>
      <w:widowControl/>
      <w:pBdr>
        <w:top w:val="single" w:color="auto" w:sz="4" w:space="0"/>
        <w:left w:val="single" w:color="auto" w:sz="4" w:space="0"/>
        <w:bottom w:val="single" w:color="auto" w:sz="4" w:space="0"/>
        <w:right w:val="single" w:color="auto" w:sz="4" w:space="0"/>
      </w:pBdr>
      <w:shd w:val="clear" w:color="000000" w:fill="D9D9D9"/>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68">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69">
    <w:name w:val="xl156"/>
    <w:basedOn w:val="1"/>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70">
    <w:name w:val="xl157"/>
    <w:basedOn w:val="1"/>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71">
    <w:name w:val="xl158"/>
    <w:basedOn w:val="1"/>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72">
    <w:name w:val="xl159"/>
    <w:basedOn w:val="1"/>
    <w:uiPriority w:val="0"/>
    <w:pPr>
      <w:widowControl/>
      <w:pBdr>
        <w:top w:val="single" w:color="auto" w:sz="4" w:space="0"/>
        <w:left w:val="single" w:color="auto" w:sz="4" w:space="0"/>
        <w:bottom w:val="single" w:color="auto" w:sz="4" w:space="0"/>
        <w:right w:val="single" w:color="auto" w:sz="4" w:space="0"/>
      </w:pBdr>
      <w:shd w:val="clear" w:color="000000" w:fill="A6A6A6"/>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73">
    <w:name w:val="xl160"/>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74">
    <w:name w:val="xl161"/>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75">
    <w:name w:val="xl162"/>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276">
    <w:name w:val="xl163"/>
    <w:basedOn w:val="1"/>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277">
    <w:name w:val="xl164"/>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278">
    <w:name w:val="xl165"/>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79">
    <w:name w:val="xl166"/>
    <w:basedOn w:val="1"/>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80">
    <w:name w:val="xl167"/>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81">
    <w:name w:val="xl168"/>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82">
    <w:name w:val="xl169"/>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83">
    <w:name w:val="xl170"/>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84">
    <w:name w:val="xl171"/>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285">
    <w:name w:val="xl172"/>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286">
    <w:name w:val="xl173"/>
    <w:basedOn w:val="1"/>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87">
    <w:name w:val="xl174"/>
    <w:basedOn w:val="1"/>
    <w:uiPriority w:val="0"/>
    <w:pPr>
      <w:widowControl/>
      <w:pBdr>
        <w:top w:val="single" w:color="auto" w:sz="4" w:space="0"/>
        <w:left w:val="single" w:color="auto" w:sz="4" w:space="0"/>
        <w:bottom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88">
    <w:name w:val="xl175"/>
    <w:basedOn w:val="1"/>
    <w:uiPriority w:val="0"/>
    <w:pPr>
      <w:widowControl/>
      <w:pBdr>
        <w:top w:val="single" w:color="auto" w:sz="4" w:space="0"/>
        <w:left w:val="single" w:color="auto" w:sz="4" w:space="0"/>
        <w:bottom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89">
    <w:name w:val="xl176"/>
    <w:basedOn w:val="1"/>
    <w:uiPriority w:val="0"/>
    <w:pPr>
      <w:widowControl/>
      <w:pBdr>
        <w:top w:val="single" w:color="auto" w:sz="4" w:space="0"/>
        <w:left w:val="single" w:color="auto" w:sz="4" w:space="0"/>
        <w:bottom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0">
    <w:name w:val="xl177"/>
    <w:basedOn w:val="1"/>
    <w:uiPriority w:val="0"/>
    <w:pPr>
      <w:widowControl/>
      <w:pBdr>
        <w:top w:val="single" w:color="auto" w:sz="4" w:space="0"/>
        <w:left w:val="single" w:color="auto" w:sz="4" w:space="0"/>
        <w:bottom w:val="single" w:color="auto" w:sz="4" w:space="0"/>
      </w:pBdr>
      <w:shd w:val="clear" w:color="000000" w:fill="D9D9D9"/>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1">
    <w:name w:val="xl178"/>
    <w:basedOn w:val="1"/>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2">
    <w:name w:val="xl179"/>
    <w:basedOn w:val="1"/>
    <w:uiPriority w:val="0"/>
    <w:pPr>
      <w:widowControl/>
      <w:pBdr>
        <w:top w:val="single" w:color="auto" w:sz="4" w:space="0"/>
        <w:left w:val="single" w:color="auto" w:sz="4" w:space="0"/>
        <w:bottom w:val="single" w:color="auto" w:sz="4" w:space="0"/>
      </w:pBdr>
      <w:shd w:val="clear" w:color="000000" w:fill="F2F2F2"/>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3">
    <w:name w:val="xl180"/>
    <w:basedOn w:val="1"/>
    <w:uiPriority w:val="0"/>
    <w:pPr>
      <w:widowControl/>
      <w:pBdr>
        <w:top w:val="single" w:color="auto" w:sz="4" w:space="0"/>
        <w:left w:val="single" w:color="auto" w:sz="4" w:space="0"/>
        <w:bottom w:val="single" w:color="auto" w:sz="4" w:space="0"/>
      </w:pBdr>
      <w:shd w:val="clear" w:color="000000" w:fill="92D05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4">
    <w:name w:val="xl181"/>
    <w:basedOn w:val="1"/>
    <w:uiPriority w:val="0"/>
    <w:pPr>
      <w:widowControl/>
      <w:pBdr>
        <w:top w:val="single" w:color="auto" w:sz="4" w:space="0"/>
        <w:left w:val="single" w:color="auto" w:sz="4" w:space="0"/>
        <w:bottom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5">
    <w:name w:val="xl182"/>
    <w:basedOn w:val="1"/>
    <w:uiPriority w:val="0"/>
    <w:pPr>
      <w:widowControl/>
      <w:pBdr>
        <w:top w:val="single" w:color="auto" w:sz="4" w:space="0"/>
        <w:left w:val="single" w:color="auto" w:sz="4" w:space="0"/>
        <w:bottom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6">
    <w:name w:val="xl183"/>
    <w:basedOn w:val="1"/>
    <w:uiPriority w:val="0"/>
    <w:pPr>
      <w:widowControl/>
      <w:pBdr>
        <w:top w:val="single" w:color="auto" w:sz="4" w:space="0"/>
        <w:left w:val="single" w:color="auto" w:sz="4" w:space="0"/>
        <w:bottom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7">
    <w:name w:val="封面标题"/>
    <w:basedOn w:val="1"/>
    <w:link w:val="298"/>
    <w:qFormat/>
    <w:uiPriority w:val="0"/>
    <w:pPr>
      <w:spacing w:line="240" w:lineRule="auto"/>
      <w:ind w:firstLine="0" w:firstLineChars="0"/>
      <w:jc w:val="center"/>
      <w:outlineLvl w:val="0"/>
    </w:pPr>
    <w:rPr>
      <w:rFonts w:eastAsia="方正小标宋_GBK"/>
      <w:bCs/>
      <w:sz w:val="72"/>
      <w:szCs w:val="72"/>
    </w:rPr>
  </w:style>
  <w:style w:type="character" w:customStyle="1" w:styleId="298">
    <w:name w:val="封面标题 字符"/>
    <w:link w:val="297"/>
    <w:uiPriority w:val="0"/>
    <w:rPr>
      <w:rFonts w:ascii="Times New Roman" w:hAnsi="Times New Roman" w:eastAsia="方正小标宋_GBK"/>
      <w:bCs/>
      <w:kern w:val="2"/>
      <w:sz w:val="72"/>
      <w:szCs w:val="72"/>
    </w:rPr>
  </w:style>
  <w:style w:type="character" w:customStyle="1" w:styleId="299">
    <w:name w:val="yjz表格正文 字符"/>
    <w:uiPriority w:val="0"/>
    <w:rPr>
      <w:kern w:val="2"/>
      <w:sz w:val="21"/>
      <w:szCs w:val="22"/>
      <w:lang w:val="zh-CN"/>
    </w:rPr>
  </w:style>
  <w:style w:type="paragraph" w:customStyle="1" w:styleId="300">
    <w:name w:val="表图名称"/>
    <w:basedOn w:val="1"/>
    <w:link w:val="301"/>
    <w:uiPriority w:val="0"/>
    <w:pPr>
      <w:adjustRightInd/>
      <w:snapToGrid/>
      <w:spacing w:line="240" w:lineRule="auto"/>
      <w:ind w:firstLine="0" w:firstLineChars="0"/>
      <w:jc w:val="center"/>
    </w:pPr>
    <w:rPr>
      <w:rFonts w:ascii="Arial" w:hAnsi="Arial" w:cs="Arial"/>
      <w:b/>
      <w:kern w:val="28"/>
      <w:sz w:val="21"/>
      <w:szCs w:val="20"/>
    </w:rPr>
  </w:style>
  <w:style w:type="character" w:customStyle="1" w:styleId="301">
    <w:name w:val="表图名称 Char"/>
    <w:link w:val="300"/>
    <w:uiPriority w:val="0"/>
    <w:rPr>
      <w:rFonts w:ascii="Arial" w:hAnsi="Arial" w:cs="Arial"/>
      <w:b/>
      <w:kern w:val="28"/>
      <w:sz w:val="21"/>
    </w:rPr>
  </w:style>
  <w:style w:type="paragraph" w:customStyle="1" w:styleId="302">
    <w:name w:val="Other|1"/>
    <w:uiPriority w:val="0"/>
    <w:pPr>
      <w:widowControl w:val="0"/>
    </w:pPr>
    <w:rPr>
      <w:rFonts w:ascii="宋体" w:hAnsi="宋体" w:eastAsia="宋体" w:cs="宋体"/>
      <w:color w:val="727274"/>
      <w:sz w:val="19"/>
      <w:szCs w:val="19"/>
      <w:lang w:val="en-US" w:eastAsia="en-US" w:bidi="en-US"/>
    </w:rPr>
  </w:style>
  <w:style w:type="paragraph" w:customStyle="1" w:styleId="303">
    <w:name w:val="表格内"/>
    <w:basedOn w:val="1"/>
    <w:uiPriority w:val="0"/>
    <w:pPr>
      <w:adjustRightInd/>
      <w:snapToGrid/>
      <w:spacing w:line="240" w:lineRule="auto"/>
      <w:ind w:firstLine="0" w:firstLineChars="0"/>
      <w:jc w:val="center"/>
    </w:pPr>
    <w:rPr>
      <w:color w:val="000000"/>
      <w:szCs w:val="21"/>
    </w:rPr>
  </w:style>
  <w:style w:type="paragraph" w:customStyle="1" w:styleId="304">
    <w:name w:val="正文内容"/>
    <w:basedOn w:val="1"/>
    <w:link w:val="305"/>
    <w:qFormat/>
    <w:uiPriority w:val="0"/>
    <w:pPr>
      <w:adjustRightInd/>
      <w:snapToGrid/>
    </w:pPr>
    <w:rPr>
      <w:rFonts w:cs="宋体"/>
      <w:kern w:val="0"/>
      <w:szCs w:val="20"/>
    </w:rPr>
  </w:style>
  <w:style w:type="character" w:customStyle="1" w:styleId="305">
    <w:name w:val="正文内容 Char1"/>
    <w:link w:val="304"/>
    <w:uiPriority w:val="0"/>
    <w:rPr>
      <w:rFonts w:ascii="Times New Roman" w:hAnsi="Times New Roman" w:cs="宋体"/>
      <w:sz w:val="24"/>
    </w:rPr>
  </w:style>
  <w:style w:type="paragraph" w:customStyle="1" w:styleId="306">
    <w:name w:val="正文内中文"/>
    <w:basedOn w:val="1"/>
    <w:link w:val="307"/>
    <w:uiPriority w:val="0"/>
    <w:pPr>
      <w:spacing w:line="240" w:lineRule="auto"/>
      <w:ind w:firstLine="0" w:firstLineChars="0"/>
      <w:jc w:val="center"/>
    </w:pPr>
    <w:rPr>
      <w:szCs w:val="24"/>
    </w:rPr>
  </w:style>
  <w:style w:type="character" w:customStyle="1" w:styleId="307">
    <w:name w:val="正文内中文 字符"/>
    <w:link w:val="306"/>
    <w:qFormat/>
    <w:uiPriority w:val="0"/>
    <w:rPr>
      <w:rFonts w:ascii="Times New Roman" w:hAnsi="Times New Roman"/>
      <w:kern w:val="2"/>
      <w:sz w:val="24"/>
      <w:szCs w:val="24"/>
    </w:rPr>
  </w:style>
  <w:style w:type="paragraph" w:customStyle="1" w:styleId="308">
    <w:name w:val="表格内容"/>
    <w:basedOn w:val="1"/>
    <w:qFormat/>
    <w:uiPriority w:val="0"/>
    <w:pPr>
      <w:overflowPunct w:val="0"/>
      <w:topLinePunct/>
      <w:autoSpaceDE w:val="0"/>
      <w:autoSpaceDN w:val="0"/>
      <w:snapToGrid/>
      <w:spacing w:line="240" w:lineRule="auto"/>
      <w:ind w:firstLine="0" w:firstLineChars="0"/>
      <w:jc w:val="center"/>
    </w:pPr>
    <w:rPr>
      <w:rFonts w:cs="宋体"/>
      <w:kern w:val="0"/>
      <w:sz w:val="21"/>
      <w:szCs w:val="21"/>
      <w:lang w:val="zh-CN" w:bidi="zh-CN"/>
    </w:rPr>
  </w:style>
  <w:style w:type="paragraph" w:customStyle="1" w:styleId="309">
    <w:name w:val="Y 正文"/>
    <w:basedOn w:val="1"/>
    <w:link w:val="310"/>
    <w:uiPriority w:val="0"/>
    <w:pPr>
      <w:ind w:firstLine="480"/>
    </w:pPr>
    <w:rPr>
      <w:szCs w:val="24"/>
      <w:shd w:val="clear" w:color="auto" w:fill="FFFFFF"/>
    </w:rPr>
  </w:style>
  <w:style w:type="character" w:customStyle="1" w:styleId="310">
    <w:name w:val="Y 正文 字符"/>
    <w:link w:val="309"/>
    <w:uiPriority w:val="0"/>
    <w:rPr>
      <w:rFonts w:ascii="Times New Roman" w:hAnsi="Times New Roman"/>
      <w:kern w:val="2"/>
      <w:sz w:val="24"/>
      <w:szCs w:val="24"/>
    </w:rPr>
  </w:style>
  <w:style w:type="character" w:customStyle="1" w:styleId="311">
    <w:name w:val="电子邮件签名 字符"/>
    <w:basedOn w:val="38"/>
    <w:link w:val="10"/>
    <w:uiPriority w:val="99"/>
    <w:rPr>
      <w:rFonts w:ascii="Times New Roman" w:hAnsi="Times New Roman"/>
      <w:kern w:val="2"/>
      <w:sz w:val="24"/>
      <w:szCs w:val="24"/>
    </w:rPr>
  </w:style>
  <w:style w:type="paragraph" w:customStyle="1" w:styleId="312">
    <w:name w:val="目录 21"/>
    <w:basedOn w:val="1"/>
    <w:next w:val="10"/>
    <w:locked/>
    <w:uiPriority w:val="0"/>
    <w:pPr>
      <w:spacing w:line="240" w:lineRule="auto"/>
      <w:ind w:left="420" w:leftChars="200" w:firstLine="0" w:firstLineChars="0"/>
      <w:jc w:val="center"/>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5.jpe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footer" Target="footer1.xml"/><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jpeg"/><Relationship Id="rId7" Type="http://schemas.openxmlformats.org/officeDocument/2006/relationships/header" Target="header3.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media/image44.jpeg"/><Relationship Id="rId61" Type="http://schemas.openxmlformats.org/officeDocument/2006/relationships/image" Target="media/image43.jpeg"/><Relationship Id="rId60" Type="http://schemas.openxmlformats.org/officeDocument/2006/relationships/image" Target="media/image42.jpeg"/><Relationship Id="rId6" Type="http://schemas.openxmlformats.org/officeDocument/2006/relationships/header" Target="header2.xml"/><Relationship Id="rId59" Type="http://schemas.openxmlformats.org/officeDocument/2006/relationships/image" Target="media/image41.jpeg"/><Relationship Id="rId58" Type="http://schemas.openxmlformats.org/officeDocument/2006/relationships/image" Target="media/image40.jpeg"/><Relationship Id="rId57" Type="http://schemas.openxmlformats.org/officeDocument/2006/relationships/image" Target="media/image39.jpeg"/><Relationship Id="rId56" Type="http://schemas.openxmlformats.org/officeDocument/2006/relationships/image" Target="media/image38.jpeg"/><Relationship Id="rId55" Type="http://schemas.openxmlformats.org/officeDocument/2006/relationships/image" Target="media/image37.png"/><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media/image34.jpeg"/><Relationship Id="rId51" Type="http://schemas.openxmlformats.org/officeDocument/2006/relationships/image" Target="media/image33.jpeg"/><Relationship Id="rId50" Type="http://schemas.openxmlformats.org/officeDocument/2006/relationships/image" Target="media/image32.jpe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jpe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emf"/><Relationship Id="rId33" Type="http://schemas.openxmlformats.org/officeDocument/2006/relationships/package" Target="embeddings/Microsoft_Visio___6.vsdx"/><Relationship Id="rId32" Type="http://schemas.openxmlformats.org/officeDocument/2006/relationships/image" Target="media/image15.emf"/><Relationship Id="rId31" Type="http://schemas.openxmlformats.org/officeDocument/2006/relationships/package" Target="embeddings/Microsoft_Visio___5.vsdx"/><Relationship Id="rId30" Type="http://schemas.openxmlformats.org/officeDocument/2006/relationships/image" Target="media/image14.emf"/><Relationship Id="rId3" Type="http://schemas.openxmlformats.org/officeDocument/2006/relationships/footnotes" Target="footnotes.xml"/><Relationship Id="rId29" Type="http://schemas.openxmlformats.org/officeDocument/2006/relationships/package" Target="embeddings/Microsoft_Visio___4.vsdx"/><Relationship Id="rId28" Type="http://schemas.openxmlformats.org/officeDocument/2006/relationships/image" Target="media/image13.png"/><Relationship Id="rId27" Type="http://schemas.openxmlformats.org/officeDocument/2006/relationships/image" Target="media/image12.emf"/><Relationship Id="rId26" Type="http://schemas.openxmlformats.org/officeDocument/2006/relationships/package" Target="embeddings/Microsoft_Visio___3.vsdx"/><Relationship Id="rId25" Type="http://schemas.openxmlformats.org/officeDocument/2006/relationships/image" Target="media/image11.emf"/><Relationship Id="rId24" Type="http://schemas.openxmlformats.org/officeDocument/2006/relationships/package" Target="embeddings/Microsoft_Visio___2.vsdx"/><Relationship Id="rId23" Type="http://schemas.openxmlformats.org/officeDocument/2006/relationships/image" Target="media/image10.emf"/><Relationship Id="rId22" Type="http://schemas.openxmlformats.org/officeDocument/2006/relationships/package" Target="embeddings/Microsoft_Visio___1.vsdx"/><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780144-93E3-47B4-BEC0-69D6A79F564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151</Pages>
  <Words>57468</Words>
  <Characters>66641</Characters>
  <Lines>555</Lines>
  <Paragraphs>156</Paragraphs>
  <TotalTime>20</TotalTime>
  <ScaleCrop>false</ScaleCrop>
  <LinksUpToDate>false</LinksUpToDate>
  <CharactersWithSpaces>67267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2022-12-19T03:12:00Z</dcterms:created>
  <dc:creator>杨杰忠</dc:creator>
  <cp:lastModifiedBy>小小小怡</cp:lastModifiedBy>
  <cp:lastPrinted>2017-11-09T01:58:00Z</cp:lastPrinted>
  <dcterms:modified xsi:type="dcterms:W3CDTF">2022-12-19T03:40:00Z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B5C1A15D2AA944339FCCA375D5E50E35</vt:lpwstr>
  </property>
</Properties>
</file>